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right"/>
      </w:pPr>
      <w:r>
        <w:t>岳环评〔2024〕</w:t>
      </w:r>
      <w:r>
        <w:rPr>
          <w:rFonts w:hint="eastAsia"/>
          <w:lang w:val="en-US" w:eastAsia="zh-CN"/>
        </w:rPr>
        <w:t>10</w:t>
      </w:r>
      <w:bookmarkStart w:id="4" w:name="_GoBack"/>
      <w:bookmarkEnd w:id="4"/>
      <w:r>
        <w:t>号</w:t>
      </w:r>
    </w:p>
    <w:p>
      <w:pPr>
        <w:ind w:firstLine="0" w:firstLineChars="0"/>
        <w:jc w:val="center"/>
        <w:rPr>
          <w:rFonts w:ascii="方正小标宋简体" w:hAnsi="方正小标宋简体" w:eastAsia="方正小标宋简体" w:cs="方正小标宋简体"/>
          <w:sz w:val="44"/>
          <w:szCs w:val="44"/>
        </w:rPr>
      </w:pPr>
      <w:bookmarkStart w:id="0" w:name="OLE_LINK4"/>
      <w:r>
        <w:rPr>
          <w:rFonts w:hint="eastAsia" w:ascii="方正小标宋简体" w:hAnsi="方正小标宋简体" w:eastAsia="方正小标宋简体" w:cs="方正小标宋简体"/>
          <w:sz w:val="44"/>
          <w:szCs w:val="44"/>
        </w:rPr>
        <w:t>关于湖南倍特尔新材料有限公司1500吨/年分散剂、1500吨/年流平剂、2000吨/年消泡剂、5000吨/年水性树脂、5000吨/年功能色浆变动项目环境影响报告书的批复</w:t>
      </w:r>
    </w:p>
    <w:bookmarkEnd w:id="0"/>
    <w:p/>
    <w:p>
      <w:pPr>
        <w:ind w:firstLine="0" w:firstLineChars="0"/>
      </w:pPr>
      <w:r>
        <w:t>湖南倍特尔新材料有限公司：</w:t>
      </w:r>
    </w:p>
    <w:p>
      <w:r>
        <w:t>你公司《</w:t>
      </w:r>
      <w:bookmarkStart w:id="1" w:name="_Hlk140503005"/>
      <w:r>
        <w:t>湖南倍特尔新材料有限公司1500吨/年分散剂、1500吨/年流平剂、2000吨/年消泡剂、5000吨/年水性树脂、5000吨/年功能色浆变动项目环境影响报告书</w:t>
      </w:r>
      <w:bookmarkEnd w:id="1"/>
      <w:r>
        <w:t>报批申请书》、岳阳市生态环境事务中心《湖南倍特尔新材料有限公司1500吨/年分散剂、1500吨/年流平剂、2000吨/年消泡剂、5000吨/年水性树脂、5000吨/年功能色浆变动项目环境影响报告书技术评估报告》（岳环事评估〔2023〕80号）、岳阳市生态环境局云溪分局的预审意见及有关附件收悉。经研究，批复如下：</w:t>
      </w:r>
    </w:p>
    <w:p>
      <w:r>
        <w:t>一、</w:t>
      </w:r>
      <w:r>
        <w:rPr>
          <w:rFonts w:hint="eastAsia"/>
        </w:rPr>
        <w:t>本变动项目</w:t>
      </w:r>
      <w:r>
        <w:t>位于湖南岳阳绿色化工产业园云溪片区北侧</w:t>
      </w:r>
      <w:r>
        <w:rPr>
          <w:rFonts w:hint="eastAsia"/>
        </w:rPr>
        <w:t>你公司现有厂区内。</w:t>
      </w:r>
      <w:r>
        <w:t>2020年5月12日</w:t>
      </w:r>
      <w:r>
        <w:rPr>
          <w:rFonts w:hint="eastAsia"/>
        </w:rPr>
        <w:t>，你公司《</w:t>
      </w:r>
      <w:r>
        <w:t>1500吨/年分散剂、1500吨/年流平剂、2000吨/年消泡剂、5000吨/年水性树脂、5000吨/年功能色浆项目环境影响报告书》</w:t>
      </w:r>
      <w:r>
        <w:rPr>
          <w:rFonts w:hint="eastAsia"/>
        </w:rPr>
        <w:t>取得我局环评批复</w:t>
      </w:r>
      <w:r>
        <w:t>（岳环评〔2020〕77号）</w:t>
      </w:r>
      <w:r>
        <w:rPr>
          <w:rFonts w:hint="eastAsia"/>
        </w:rPr>
        <w:t>，在</w:t>
      </w:r>
      <w:r>
        <w:t>实际建设</w:t>
      </w:r>
      <w:r>
        <w:rPr>
          <w:rFonts w:hint="eastAsia"/>
        </w:rPr>
        <w:t>过程</w:t>
      </w:r>
      <w:r>
        <w:t>中</w:t>
      </w:r>
      <w:r>
        <w:rPr>
          <w:rFonts w:hint="eastAsia"/>
        </w:rPr>
        <w:t>，项目在原环评基础上发生多处变动：</w:t>
      </w:r>
      <w:r>
        <w:rPr>
          <w:rFonts w:hint="eastAsia" w:ascii="宋体" w:hAnsi="宋体" w:eastAsia="宋体" w:cs="宋体"/>
        </w:rPr>
        <w:t>①</w:t>
      </w:r>
      <w:r>
        <w:t>平面布局变化，总建筑面积由原来的17570.15m</w:t>
      </w:r>
      <w:r>
        <w:rPr>
          <w:vertAlign w:val="superscript"/>
        </w:rPr>
        <w:t>2</w:t>
      </w:r>
      <w:r>
        <w:t>变为16896.42m</w:t>
      </w:r>
      <w:r>
        <w:rPr>
          <w:vertAlign w:val="superscript"/>
        </w:rPr>
        <w:t>2</w:t>
      </w:r>
      <w:r>
        <w:t>；</w:t>
      </w:r>
      <w:r>
        <w:rPr>
          <w:rFonts w:hint="eastAsia" w:ascii="宋体" w:hAnsi="宋体" w:eastAsia="宋体" w:cs="宋体"/>
        </w:rPr>
        <w:t>②</w:t>
      </w:r>
      <w:r>
        <w:t>罐区储存能力增大，由原2个30m</w:t>
      </w:r>
      <w:r>
        <w:rPr>
          <w:vertAlign w:val="superscript"/>
        </w:rPr>
        <w:t>3</w:t>
      </w:r>
      <w:r>
        <w:t>、6个23m</w:t>
      </w:r>
      <w:r>
        <w:rPr>
          <w:vertAlign w:val="superscript"/>
        </w:rPr>
        <w:t>3</w:t>
      </w:r>
      <w:r>
        <w:t>的甲类埋地储罐变更为2个44m</w:t>
      </w:r>
      <w:r>
        <w:rPr>
          <w:vertAlign w:val="superscript"/>
        </w:rPr>
        <w:t>3</w:t>
      </w:r>
      <w:r>
        <w:t>的地上甲类储罐、6个30m</w:t>
      </w:r>
      <w:r>
        <w:rPr>
          <w:vertAlign w:val="superscript"/>
        </w:rPr>
        <w:t>3</w:t>
      </w:r>
      <w:r>
        <w:t>的埋地甲类储罐，并增加预留60m</w:t>
      </w:r>
      <w:r>
        <w:rPr>
          <w:vertAlign w:val="superscript"/>
        </w:rPr>
        <w:t>3</w:t>
      </w:r>
      <w:r>
        <w:t>的地埋储罐；</w:t>
      </w:r>
      <w:r>
        <w:rPr>
          <w:rFonts w:hint="eastAsia" w:ascii="宋体" w:hAnsi="宋体" w:eastAsia="宋体" w:cs="宋体"/>
        </w:rPr>
        <w:t>③</w:t>
      </w:r>
      <w:r>
        <w:t>产品变化，新增3000吨绿色环保中高压水汽循环水处理剂</w:t>
      </w:r>
      <w:r>
        <w:rPr>
          <w:rFonts w:hint="eastAsia"/>
        </w:rPr>
        <w:t>（以下简称“锅炉阻垢剂”）</w:t>
      </w:r>
      <w:r>
        <w:t>产品，在分散剂、流平剂、消泡剂总体生产规模不变的情况下，调整分散剂、流平剂、消泡剂各小类的生产规模；</w:t>
      </w:r>
      <w:r>
        <w:rPr>
          <w:rFonts w:hint="eastAsia" w:ascii="宋体" w:hAnsi="宋体" w:eastAsia="宋体" w:cs="宋体"/>
        </w:rPr>
        <w:t>④</w:t>
      </w:r>
      <w:r>
        <w:t>原辅材料变化，聚醚分散剂、深色聚酯分散剂、聚醚流平剂、聚醚消泡剂、水性树脂等产品原辅材料调整，新增</w:t>
      </w:r>
      <w:r>
        <w:rPr>
          <w:rFonts w:hint="eastAsia"/>
        </w:rPr>
        <w:t>部分</w:t>
      </w:r>
      <w:r>
        <w:t>原辅材料；</w:t>
      </w:r>
      <w:r>
        <w:rPr>
          <w:rFonts w:hint="eastAsia" w:ascii="宋体" w:hAnsi="宋体" w:eastAsia="宋体" w:cs="宋体"/>
        </w:rPr>
        <w:t>⑤</w:t>
      </w:r>
      <w:r>
        <w:t>主要生产装置变化，中试生产线变为小批量生产线，聚醚生产线由8条线改为6条线、聚酯和丙烯酸生产线由13条改为8条、水性树脂由9条线改为12条，其各产品的生产线生产规模调整；</w:t>
      </w:r>
      <w:r>
        <w:rPr>
          <w:rFonts w:hint="eastAsia" w:ascii="宋体" w:hAnsi="宋体" w:eastAsia="宋体" w:cs="宋体"/>
        </w:rPr>
        <w:t>⑥</w:t>
      </w:r>
      <w:r>
        <w:t>废气处理措施变化，环氧乙烷、环氧丙烷废气处置方式变更为</w:t>
      </w:r>
      <w:r>
        <w:rPr>
          <w:color w:val="auto"/>
        </w:rPr>
        <w:t>水喷淋处理；原RTO处理设施改为水喷淋+除雾+RCO处理设施；</w:t>
      </w:r>
      <w:r>
        <w:t>甲类仓库、危废暂存间废气处理措施改为</w:t>
      </w:r>
      <w:r>
        <w:rPr>
          <w:rFonts w:hint="eastAsia"/>
        </w:rPr>
        <w:t>碱喷淋</w:t>
      </w:r>
      <w:r>
        <w:t>工艺。变动后，</w:t>
      </w:r>
      <w:r>
        <w:rPr>
          <w:rFonts w:hint="eastAsia"/>
        </w:rPr>
        <w:t>项目</w:t>
      </w:r>
      <w:r>
        <w:t>VOCs排放量由2.15685t/a变为2.6021t/a，增加0.44525t/a，其中新增锅炉阻垢剂产品造成VOCs排放量增加0.4395t/a，原有产品、罐区、废气处理设施等变动造成VOCs排放量增加0.00575t/a；罐区仓储能力</w:t>
      </w:r>
      <w:r>
        <w:rPr>
          <w:rFonts w:hint="eastAsia"/>
        </w:rPr>
        <w:t>较</w:t>
      </w:r>
      <w:r>
        <w:t>原环评增大65.66%；</w:t>
      </w:r>
      <w:r>
        <w:rPr>
          <w:rFonts w:hint="eastAsia"/>
        </w:rPr>
        <w:t>调</w:t>
      </w:r>
      <w:r>
        <w:t>整原辅材料后新增甲苯、甲醇新污染物</w:t>
      </w:r>
      <w:r>
        <w:rPr>
          <w:rFonts w:hint="eastAsia"/>
        </w:rPr>
        <w:t>；</w:t>
      </w:r>
      <w:r>
        <w:t>根据《污染影响类建设项目综合重大变动清单（试行）》（</w:t>
      </w:r>
      <w:r>
        <w:rPr>
          <w:rFonts w:hint="eastAsia"/>
        </w:rPr>
        <w:t>环办环评函〔2020〕688号</w:t>
      </w:r>
      <w:r>
        <w:t>），</w:t>
      </w:r>
      <w:r>
        <w:rPr>
          <w:rFonts w:hint="eastAsia"/>
        </w:rPr>
        <w:t>属</w:t>
      </w:r>
      <w:r>
        <w:t>重大变动，</w:t>
      </w:r>
      <w:r>
        <w:rPr>
          <w:rFonts w:hint="eastAsia"/>
        </w:rPr>
        <w:t>现</w:t>
      </w:r>
      <w:r>
        <w:t>重新</w:t>
      </w:r>
      <w:r>
        <w:rPr>
          <w:rFonts w:hint="eastAsia"/>
        </w:rPr>
        <w:t>办理环评手续</w:t>
      </w:r>
      <w:r>
        <w:t>。</w:t>
      </w:r>
    </w:p>
    <w:p>
      <w:r>
        <w:rPr>
          <w:rFonts w:hint="eastAsia"/>
        </w:rPr>
        <w:t>本</w:t>
      </w:r>
      <w:r>
        <w:t>变动项目总投资13256.3万元，</w:t>
      </w:r>
      <w:r>
        <w:rPr>
          <w:rFonts w:hint="eastAsia"/>
        </w:rPr>
        <w:t>其中环保投资1046</w:t>
      </w:r>
      <w:r>
        <w:t>万元</w:t>
      </w:r>
      <w:r>
        <w:rPr>
          <w:rFonts w:hint="eastAsia"/>
        </w:rPr>
        <w:t>，</w:t>
      </w:r>
      <w:r>
        <w:t>总占地面积为30000平方米，净用地面积为28404.35平方米。变动后</w:t>
      </w:r>
      <w:r>
        <w:rPr>
          <w:rFonts w:hint="eastAsia"/>
        </w:rPr>
        <w:t>主要建设内容为：</w:t>
      </w:r>
      <w:r>
        <w:t>建设三栋甲类厂房，在甲类厂房内设置聚醚生产线6条、聚酯与丙烯酸类聚合生产线8条、水性树脂生产线12条、油性功能色浆生产线6条、水性功能色浆高速分散生产线1条、水性功能色浆研磨生产线5条；一栋丙类车间，在丙类车间设置功能色片生产线6条、锅炉阻垢剂生产线2条；建设甲类仓库一栋，丙类仓库一栋，甲类地埋储罐7个、地上储罐2个，并配套建设综合楼、公用工程房、污水处理站、初期雨水池等</w:t>
      </w:r>
      <w:r>
        <w:rPr>
          <w:rFonts w:hint="eastAsia"/>
        </w:rPr>
        <w:t>公用</w:t>
      </w:r>
      <w:r>
        <w:t>、辅助和环保工程。</w:t>
      </w:r>
      <w:r>
        <w:rPr>
          <w:rFonts w:hint="eastAsia"/>
        </w:rPr>
        <w:t>主要原辅材料为环氧乙烷、环氧丙烷、月桂酸、棕榈酸、顺丁烯二酸酐、蓖麻油酸、己二酸、三羟甲基丙烷、苯乙烯-马来酸酐共聚物、己内酯、戊内酯、丙烯酸丁酯、马来酸二丁酯、二甲苯、丙二醇甲醚醋酸酯、甲基丙烯酸丁酯、醋酸丁酯、二丙二醇甲醚、4-羟基丁基丙烯酸酯、色浆载体树脂、甲基丙烯酸甲酯、丙烯酸丁酯、丙烯酸异辛酯、叔碳酸乙烯酯、苯乙烯、甲基丙烯酸、双丙酮丙烯酰胺、已二酸酰肼、乙醇胺、二乙氨基乙醇、二乙基羟胺、环己胺、丙烯酸、甲醇、五氧化二磷、甲醇钠、甲苯等。主要产品及规模为：年产1500吨分散剂、1500吨流平剂、2000吨消泡剂、5000吨水性树脂、5000吨功能色浆及3000吨锅炉阻垢剂。</w:t>
      </w:r>
    </w:p>
    <w:p>
      <w:r>
        <w:t>根据湖南美景环保科技咨询服务有限公司编制的《湖南倍特尔新材料有限公司1500吨/年分散剂、1500吨/年流平剂、2000吨/年消泡剂、5000吨/年水性树脂、5000吨/年功能色浆变动项目环境影响报告书》基本内容、结论、专家评审意见和《湖南倍特尔新材料有限公司1500吨/年分散剂、1500吨/年流平剂、2000吨/年消泡剂、5000吨/年水性树脂、5000吨/年功能色浆变动项目环境影响报告书技术评估报告》以及岳阳市生态环境局云溪分局预审意见，从环境保护角度考虑，我局原则同意你公司环境影响报告书中所列建设项目的环境影响评价结论和环境保护对策措施。</w:t>
      </w:r>
    </w:p>
    <w:p>
      <w:pPr>
        <w:rPr>
          <w:u w:val="single"/>
        </w:rPr>
      </w:pPr>
      <w:r>
        <w:t>二、</w:t>
      </w:r>
      <w:bookmarkStart w:id="2" w:name="OLE_LINK3"/>
      <w:r>
        <w:t>项目建设和运营必须全面落实</w:t>
      </w:r>
      <w:r>
        <w:rPr>
          <w:rFonts w:hint="eastAsia"/>
        </w:rPr>
        <w:t>专家和</w:t>
      </w:r>
      <w:r>
        <w:t>环境影响报告书提出的各项环保措施，并着重做好以下工作：</w:t>
      </w:r>
    </w:p>
    <w:p>
      <w:pPr>
        <w:ind w:firstLine="643"/>
        <w:rPr>
          <w:rFonts w:ascii="楷体_GB2312" w:hAnsi="楷体_GB2312" w:eastAsia="楷体_GB2312" w:cs="楷体_GB2312"/>
          <w:b/>
          <w:bCs/>
        </w:rPr>
      </w:pPr>
      <w:bookmarkStart w:id="3" w:name="OLE_LINK2"/>
      <w:bookmarkEnd w:id="3"/>
      <w:r>
        <w:rPr>
          <w:rFonts w:hint="eastAsia" w:ascii="楷体_GB2312" w:hAnsi="楷体_GB2312" w:eastAsia="楷体_GB2312" w:cs="楷体_GB2312"/>
          <w:b/>
          <w:bCs/>
        </w:rPr>
        <w:t>（一）废气污染防治工作。</w:t>
      </w:r>
      <w:r>
        <w:t>严格控制项目废气污染，规范建设各废气集排气系统和处理设施</w:t>
      </w:r>
      <w:r>
        <w:rPr>
          <w:rFonts w:hint="eastAsia"/>
        </w:rPr>
        <w:t>。</w:t>
      </w:r>
      <w:r>
        <w:t>项目甲一车间聚醚反应工序</w:t>
      </w:r>
      <w:r>
        <w:rPr>
          <w:rFonts w:hint="eastAsia"/>
        </w:rPr>
        <w:t>废气</w:t>
      </w:r>
      <w:r>
        <w:t>经</w:t>
      </w:r>
      <w:r>
        <w:rPr>
          <w:rFonts w:hint="eastAsia"/>
        </w:rPr>
        <w:t>“</w:t>
      </w:r>
      <w:r>
        <w:t>三级水喷淋</w:t>
      </w:r>
      <w:r>
        <w:rPr>
          <w:rFonts w:hint="eastAsia"/>
        </w:rPr>
        <w:t>”</w:t>
      </w:r>
      <w:r>
        <w:t>处理后</w:t>
      </w:r>
      <w:r>
        <w:rPr>
          <w:rFonts w:hint="eastAsia"/>
        </w:rPr>
        <w:t>通过</w:t>
      </w:r>
      <w:r>
        <w:t>25m高DA001排气筒排放；甲二</w:t>
      </w:r>
      <w:r>
        <w:rPr>
          <w:rFonts w:hint="eastAsia"/>
        </w:rPr>
        <w:t>车间高分子助剂生产废气、设备清洗废气、水性树脂有机废气和</w:t>
      </w:r>
      <w:r>
        <w:t>甲三车间</w:t>
      </w:r>
      <w:r>
        <w:rPr>
          <w:rFonts w:hint="eastAsia"/>
        </w:rPr>
        <w:t>水性功能色浆有机废气、油性功能色浆有机废气以及</w:t>
      </w:r>
      <w:r>
        <w:t>丙类车间功能色片</w:t>
      </w:r>
      <w:r>
        <w:rPr>
          <w:rFonts w:hint="eastAsia"/>
        </w:rPr>
        <w:t>有机废气经“水</w:t>
      </w:r>
      <w:r>
        <w:t>喷淋+除雾+吸附</w:t>
      </w:r>
      <w:r>
        <w:rPr>
          <w:rFonts w:hint="eastAsia"/>
        </w:rPr>
        <w:t>-</w:t>
      </w:r>
      <w:r>
        <w:t>催化燃烧（RCO）</w:t>
      </w:r>
      <w:r>
        <w:rPr>
          <w:rFonts w:hint="eastAsia"/>
        </w:rPr>
        <w:t>”处理后由</w:t>
      </w:r>
      <w:r>
        <w:t>25m高DA001排气筒排放；丙类车间功能色</w:t>
      </w:r>
      <w:r>
        <w:rPr>
          <w:rFonts w:hint="eastAsia"/>
        </w:rPr>
        <w:t>片生产</w:t>
      </w:r>
      <w:r>
        <w:t>产生的粉尘</w:t>
      </w:r>
      <w:r>
        <w:rPr>
          <w:rFonts w:hint="eastAsia"/>
        </w:rPr>
        <w:t>采用集气罩收集经</w:t>
      </w:r>
      <w:r>
        <w:t>布袋除尘处理后</w:t>
      </w:r>
      <w:r>
        <w:rPr>
          <w:rFonts w:hint="eastAsia"/>
        </w:rPr>
        <w:t>通过</w:t>
      </w:r>
      <w:r>
        <w:t>15m高DA002排气筒排放；甲类仓库及危废暂存间</w:t>
      </w:r>
      <w:r>
        <w:rPr>
          <w:rFonts w:hint="eastAsia"/>
        </w:rPr>
        <w:t>废气通过负压收集</w:t>
      </w:r>
      <w:r>
        <w:t>经</w:t>
      </w:r>
      <w:r>
        <w:rPr>
          <w:rFonts w:hint="eastAsia"/>
        </w:rPr>
        <w:t>“碱喷淋”</w:t>
      </w:r>
      <w:r>
        <w:t>处理后</w:t>
      </w:r>
      <w:r>
        <w:rPr>
          <w:rFonts w:hint="eastAsia"/>
        </w:rPr>
        <w:t>由</w:t>
      </w:r>
      <w:r>
        <w:t>15m高DA003排气筒排放；</w:t>
      </w:r>
      <w:r>
        <w:rPr>
          <w:rFonts w:hint="eastAsia"/>
        </w:rPr>
        <w:t>厂区</w:t>
      </w:r>
      <w:r>
        <w:t>污水</w:t>
      </w:r>
      <w:r>
        <w:rPr>
          <w:rFonts w:hint="eastAsia"/>
        </w:rPr>
        <w:t>处理</w:t>
      </w:r>
      <w:r>
        <w:t>站废气采取加盖收集</w:t>
      </w:r>
      <w:r>
        <w:rPr>
          <w:rFonts w:hint="eastAsia"/>
        </w:rPr>
        <w:t>并经“</w:t>
      </w:r>
      <w:r>
        <w:t>生物除臭+水喷淋</w:t>
      </w:r>
      <w:r>
        <w:rPr>
          <w:rFonts w:hint="eastAsia"/>
        </w:rPr>
        <w:t>”处理</w:t>
      </w:r>
      <w:r>
        <w:t>后</w:t>
      </w:r>
      <w:r>
        <w:rPr>
          <w:rFonts w:hint="eastAsia"/>
        </w:rPr>
        <w:t>由</w:t>
      </w:r>
      <w:r>
        <w:t>15m高DA004排气筒排放；</w:t>
      </w:r>
      <w:r>
        <w:rPr>
          <w:rFonts w:hint="eastAsia"/>
        </w:rPr>
        <w:t>丙类车间</w:t>
      </w:r>
      <w:r>
        <w:t>锅炉阻垢剂生产废气</w:t>
      </w:r>
      <w:r>
        <w:rPr>
          <w:rFonts w:hint="eastAsia"/>
        </w:rPr>
        <w:t>经“酸喷淋</w:t>
      </w:r>
      <w:r>
        <w:t>+除雾+三级活性炭吸附</w:t>
      </w:r>
      <w:r>
        <w:rPr>
          <w:rFonts w:hint="eastAsia"/>
        </w:rPr>
        <w:t>”</w:t>
      </w:r>
      <w:r>
        <w:t>处理后</w:t>
      </w:r>
      <w:r>
        <w:rPr>
          <w:rFonts w:hint="eastAsia"/>
        </w:rPr>
        <w:t>由</w:t>
      </w:r>
      <w:r>
        <w:t>15m高DA005排气筒排放；</w:t>
      </w:r>
      <w:r>
        <w:rPr>
          <w:rFonts w:hint="eastAsia"/>
        </w:rPr>
        <w:t>天然气</w:t>
      </w:r>
      <w:r>
        <w:t>导热油炉燃烧废气经15m高DA006排气筒排放；食堂油烟</w:t>
      </w:r>
      <w:r>
        <w:rPr>
          <w:rFonts w:hint="eastAsia"/>
        </w:rPr>
        <w:t>经</w:t>
      </w:r>
      <w:r>
        <w:t>油烟净化器处理后通过15m高DA007排气筒排放；甲二</w:t>
      </w:r>
      <w:r>
        <w:rPr>
          <w:rFonts w:hint="eastAsia"/>
        </w:rPr>
        <w:t>、</w:t>
      </w:r>
      <w:r>
        <w:t>甲三车间产生的粉尘</w:t>
      </w:r>
      <w:r>
        <w:rPr>
          <w:rFonts w:hint="eastAsia"/>
        </w:rPr>
        <w:t>通过集气罩收集经</w:t>
      </w:r>
      <w:r>
        <w:t>布袋除尘处理后</w:t>
      </w:r>
      <w:r>
        <w:rPr>
          <w:rFonts w:hint="eastAsia"/>
        </w:rPr>
        <w:t>由</w:t>
      </w:r>
      <w:r>
        <w:t>25m高DA008排气筒排放。</w:t>
      </w:r>
      <w:r>
        <w:rPr>
          <w:rFonts w:hint="eastAsia"/>
        </w:rPr>
        <w:t>项目有组织废气</w:t>
      </w:r>
      <w:r>
        <w:t>中二甲苯、甲醇执行《大气污染物综合排放标准》（GB16297-1996）</w:t>
      </w:r>
      <w:r>
        <w:rPr>
          <w:rFonts w:hint="eastAsia"/>
        </w:rPr>
        <w:t>表</w:t>
      </w:r>
      <w:r>
        <w:t>2中二级标准</w:t>
      </w:r>
      <w:r>
        <w:rPr>
          <w:rFonts w:hint="eastAsia"/>
        </w:rPr>
        <w:t>；氨、苯乙烯、甲苯、非甲烷总烃</w:t>
      </w:r>
      <w:r>
        <w:t>执行《合成树脂工业污染物排放标准》（GB31572-2015）</w:t>
      </w:r>
      <w:r>
        <w:rPr>
          <w:rFonts w:hint="eastAsia"/>
        </w:rPr>
        <w:t>表</w:t>
      </w:r>
      <w:r>
        <w:t>4排放限值；</w:t>
      </w:r>
      <w:r>
        <w:rPr>
          <w:rFonts w:hint="eastAsia"/>
        </w:rPr>
        <w:t>甲类车间颗粒物</w:t>
      </w:r>
      <w:r>
        <w:t>执行《合成树脂工业污染物排放标准》（GB31572-2015）</w:t>
      </w:r>
      <w:r>
        <w:rPr>
          <w:rFonts w:hint="eastAsia"/>
        </w:rPr>
        <w:t>表</w:t>
      </w:r>
      <w:r>
        <w:t>5特别排放限值；</w:t>
      </w:r>
      <w:r>
        <w:rPr>
          <w:rFonts w:hint="eastAsia"/>
        </w:rPr>
        <w:t>功能色浆生产产生的颗粒物</w:t>
      </w:r>
      <w:r>
        <w:t>执行《涂料、油墨及胶粘剂工业大气污染物排放标准》（GB37824-2019）；</w:t>
      </w:r>
      <w:r>
        <w:rPr>
          <w:rFonts w:hint="eastAsia"/>
        </w:rPr>
        <w:t>污水处理站废气中</w:t>
      </w:r>
      <w:r>
        <w:t>氨、硫化氢</w:t>
      </w:r>
      <w:r>
        <w:rPr>
          <w:rFonts w:hint="eastAsia"/>
        </w:rPr>
        <w:t>、臭气浓度</w:t>
      </w:r>
      <w:r>
        <w:t>执行《恶臭污染物排放标准》（GB14554-93）；</w:t>
      </w:r>
      <w:r>
        <w:rPr>
          <w:rFonts w:hint="eastAsia"/>
        </w:rPr>
        <w:t>天然气导热油炉废气</w:t>
      </w:r>
      <w:r>
        <w:t>执行《锅炉大气污染物排放标准》（GB13271-2014）表3大气污染物特别排放限值；</w:t>
      </w:r>
      <w:r>
        <w:rPr>
          <w:rFonts w:hint="eastAsia"/>
        </w:rPr>
        <w:t>食堂油烟</w:t>
      </w:r>
      <w:r>
        <w:t>执行《饮食业油烟排放标准（试行）》（GB18483-2001）表2标准限值。</w:t>
      </w:r>
    </w:p>
    <w:p>
      <w:r>
        <w:t>通过优先选用先进密闭的生产</w:t>
      </w:r>
      <w:r>
        <w:rPr>
          <w:rFonts w:hint="eastAsia"/>
        </w:rPr>
        <w:t>设备</w:t>
      </w:r>
      <w:r>
        <w:t>，物料密闭投加输送</w:t>
      </w:r>
      <w:r>
        <w:rPr>
          <w:rFonts w:hint="eastAsia"/>
        </w:rPr>
        <w:t>，</w:t>
      </w:r>
      <w:r>
        <w:t>加强无组织废气的收集和有效处理、非正常工况污染控制、车间通风、车间管理和日常监管，定期对设备、管道、阀门等进行维护和管理，杜绝生产过程中的跑、冒、滴、漏，最大限度减少废气无组织排放</w:t>
      </w:r>
      <w:r>
        <w:rPr>
          <w:rFonts w:hint="eastAsia"/>
        </w:rPr>
        <w:t>，</w:t>
      </w:r>
      <w:r>
        <w:t>确保厂区</w:t>
      </w:r>
      <w:r>
        <w:rPr>
          <w:rFonts w:hint="eastAsia"/>
        </w:rPr>
        <w:t>内</w:t>
      </w:r>
      <w:r>
        <w:t>非甲烷总烃</w:t>
      </w:r>
      <w:r>
        <w:rPr>
          <w:rFonts w:hint="eastAsia"/>
        </w:rPr>
        <w:t>无组织排放满足</w:t>
      </w:r>
      <w:r>
        <w:t>《挥发性有机物无组织排放控制标准》（GB37822-2019）</w:t>
      </w:r>
      <w:r>
        <w:rPr>
          <w:rFonts w:hint="eastAsia"/>
        </w:rPr>
        <w:t>附录A</w:t>
      </w:r>
      <w:r>
        <w:t>表A.1排放限值</w:t>
      </w:r>
      <w:r>
        <w:rPr>
          <w:rFonts w:hint="eastAsia"/>
        </w:rPr>
        <w:t>；</w:t>
      </w:r>
      <w:r>
        <w:t>厂界颗粒物、非甲烷总烃、甲苯执行《合成树脂工业污染物排放标准》（GB31572-2015）</w:t>
      </w:r>
      <w:r>
        <w:rPr>
          <w:rFonts w:hint="eastAsia"/>
        </w:rPr>
        <w:t>表</w:t>
      </w:r>
      <w:r>
        <w:t>9中企业边界大气污染物浓度限值</w:t>
      </w:r>
      <w:r>
        <w:rPr>
          <w:rFonts w:hint="eastAsia"/>
        </w:rPr>
        <w:t>；</w:t>
      </w:r>
      <w:r>
        <w:t>厂界二甲苯、甲醇执行《大气污染物综合排放标准》（GB16297-1996）</w:t>
      </w:r>
      <w:r>
        <w:rPr>
          <w:rFonts w:hint="eastAsia"/>
        </w:rPr>
        <w:t>表</w:t>
      </w:r>
      <w:r>
        <w:t>2限值；厂界苯乙烯、氨、硫化氢、臭气浓度执行《恶臭污染物排放标准》（GB14554-93）</w:t>
      </w:r>
      <w:r>
        <w:rPr>
          <w:rFonts w:hint="eastAsia"/>
        </w:rPr>
        <w:t>表</w:t>
      </w:r>
      <w:r>
        <w:t>1限值；</w:t>
      </w:r>
    </w:p>
    <w:p>
      <w:pPr>
        <w:ind w:firstLine="643"/>
        <w:rPr>
          <w:snapToGrid w:val="0"/>
        </w:rPr>
      </w:pPr>
      <w:r>
        <w:rPr>
          <w:rFonts w:ascii="楷体_GB2312" w:hAnsi="楷体_GB2312" w:eastAsia="楷体_GB2312" w:cs="楷体_GB2312"/>
          <w:b/>
        </w:rPr>
        <w:t>（二）废水污染防治工作。</w:t>
      </w:r>
      <w:r>
        <w:t>严格按照“雨污分流、清污分流、污污分流”的原则</w:t>
      </w:r>
      <w:r>
        <w:rPr>
          <w:rFonts w:hint="eastAsia"/>
        </w:rPr>
        <w:t>规范</w:t>
      </w:r>
      <w:r>
        <w:t>建设厂区雨污</w:t>
      </w:r>
      <w:r>
        <w:rPr>
          <w:rFonts w:hint="eastAsia"/>
        </w:rPr>
        <w:t>水管网及收集设施</w:t>
      </w:r>
      <w:r>
        <w:t>。</w:t>
      </w:r>
      <w:r>
        <w:rPr>
          <w:rFonts w:hint="eastAsia"/>
          <w:snapToGrid w:val="0"/>
        </w:rPr>
        <w:t>设备清洗废水、喷淋塔废水经厂区污水处理站“气浮</w:t>
      </w:r>
      <w:r>
        <w:rPr>
          <w:snapToGrid w:val="0"/>
        </w:rPr>
        <w:t>+芬顿塔+混凝沉淀+调节池+水解酸化+AO+沉淀</w:t>
      </w:r>
      <w:r>
        <w:rPr>
          <w:rFonts w:hint="eastAsia"/>
          <w:snapToGrid w:val="0"/>
        </w:rPr>
        <w:t>”处理后，与经污水处理站“</w:t>
      </w:r>
      <w:r>
        <w:rPr>
          <w:snapToGrid w:val="0"/>
        </w:rPr>
        <w:t>调节池+水解酸化+AO+沉淀</w:t>
      </w:r>
      <w:r>
        <w:rPr>
          <w:rFonts w:hint="eastAsia"/>
          <w:snapToGrid w:val="0"/>
        </w:rPr>
        <w:t>”处理的初期雨水和实验室排水、经“隔油池+化粪池”处理的食堂废水、经化粪池处理的其他生活污水、去离子水制备废水一并通过园区污水管网进入岳阳广华污水处理厂深度处理，达标排放。项目废水执行《合成树脂工业污染物排放标准》（</w:t>
      </w:r>
      <w:r>
        <w:rPr>
          <w:snapToGrid w:val="0"/>
        </w:rPr>
        <w:t>GB31572-2015）表1</w:t>
      </w:r>
      <w:r>
        <w:rPr>
          <w:rFonts w:hint="eastAsia"/>
          <w:snapToGrid w:val="0"/>
        </w:rPr>
        <w:t>中</w:t>
      </w:r>
      <w:r>
        <w:rPr>
          <w:snapToGrid w:val="0"/>
        </w:rPr>
        <w:t>间接排放</w:t>
      </w:r>
      <w:r>
        <w:rPr>
          <w:rFonts w:hint="eastAsia"/>
          <w:snapToGrid w:val="0"/>
        </w:rPr>
        <w:t>标准和</w:t>
      </w:r>
      <w:r>
        <w:rPr>
          <w:snapToGrid w:val="0"/>
        </w:rPr>
        <w:t>岳阳广华污水处理厂</w:t>
      </w:r>
      <w:r>
        <w:rPr>
          <w:rFonts w:hint="eastAsia"/>
          <w:snapToGrid w:val="0"/>
        </w:rPr>
        <w:t>进水水质标准中较严值。</w:t>
      </w:r>
    </w:p>
    <w:p>
      <w:pPr>
        <w:ind w:firstLine="643"/>
      </w:pPr>
      <w:r>
        <w:rPr>
          <w:rFonts w:ascii="楷体_GB2312" w:hAnsi="楷体_GB2312" w:eastAsia="楷体_GB2312" w:cs="楷体_GB2312"/>
          <w:b/>
          <w:bCs/>
        </w:rPr>
        <w:t>（三）地下水和土壤污染防治工作。</w:t>
      </w:r>
      <w:r>
        <w:t>按照“源头控制、分区防治、污染监控、应急响应”相结合的原则落实报告书提出的地下水与土壤污染防治措施，从污染物的产生、入渗、扩散、应急响应全阶段进行防控。在工艺、管道、设备、污水储存及处理构筑物采取相应措施防止和降低污染物跑、冒、滴、漏；管线敷设尽量采用“可视化”原则，做到污染物“早发现、早处理”；严格按照《石油化工工程防渗技术规范》（GB/T50934-2013）做好甲类车间、储罐区、甲类仓库、危废暂存间、初期雨水池、污水处理站、碱水池、事故应急池、污水管道等重点防渗区及其他区域防渗工作，</w:t>
      </w:r>
      <w:r>
        <w:rPr>
          <w:bCs/>
        </w:rPr>
        <w:t>强化日常管理和风险隐患排查，避免由于</w:t>
      </w:r>
      <w:r>
        <w:t>防渗层或</w:t>
      </w:r>
      <w:r>
        <w:rPr>
          <w:bCs/>
        </w:rPr>
        <w:t>设备破损等情况造成污染物下渗污染地下水</w:t>
      </w:r>
      <w:r>
        <w:t>及土壤；制定地下水和土壤监测计划，</w:t>
      </w:r>
      <w:r>
        <w:rPr>
          <w:bCs/>
        </w:rPr>
        <w:t>根据《地下水环境监测技术规范》(HJ164-2020)等要求，</w:t>
      </w:r>
      <w:r>
        <w:rPr>
          <w:rFonts w:hint="eastAsia" w:ascii="仿宋_GB2312" w:hAnsi="仿宋" w:cs="仿宋_GB2312"/>
        </w:rPr>
        <w:t>合理布置监测点位，</w:t>
      </w:r>
      <w:r>
        <w:rPr>
          <w:bCs/>
        </w:rPr>
        <w:t>做好地下水、土壤环境跟踪监测，确保地下水及土壤环境安全，一旦发现污染等异常情况，立即启动应急预案并采取措施控制污染，使污染得到治理。</w:t>
      </w:r>
    </w:p>
    <w:p>
      <w:pPr>
        <w:ind w:firstLine="643"/>
      </w:pPr>
      <w:r>
        <w:rPr>
          <w:rFonts w:ascii="楷体_GB2312" w:hAnsi="楷体_GB2312" w:eastAsia="楷体_GB2312" w:cs="楷体_GB2312"/>
          <w:b/>
          <w:bCs/>
          <w14:ligatures w14:val="none"/>
        </w:rPr>
        <w:t>（四）噪声污染防治工作。</w:t>
      </w:r>
      <w:r>
        <w:rPr>
          <w:rFonts w:hint="eastAsia"/>
        </w:rPr>
        <w:t>通过</w:t>
      </w:r>
      <w:r>
        <w:t>采用低噪声设备，</w:t>
      </w:r>
      <w:r>
        <w:rPr>
          <w:rFonts w:hint="eastAsia"/>
        </w:rPr>
        <w:t>合理安排厂区布局，加强生产设备日常维护保养，以及对风机、水泵、搅拌设备等主要噪声源采取隔声、消声、减振等措施，</w:t>
      </w:r>
      <w:r>
        <w:t>确保厂界噪声达到《工业企业厂界环境噪声排放标准》(GB12348-2008)中的3类标准要求。</w:t>
      </w:r>
    </w:p>
    <w:p>
      <w:pPr>
        <w:ind w:firstLine="643"/>
      </w:pPr>
      <w:r>
        <w:rPr>
          <w:rFonts w:ascii="楷体_GB2312" w:hAnsi="楷体_GB2312" w:eastAsia="楷体_GB2312" w:cs="楷体_GB2312"/>
          <w:b/>
          <w:bCs/>
        </w:rPr>
        <w:t>（五）固体废物管理工作。</w:t>
      </w:r>
      <w:r>
        <w:rPr>
          <w:rFonts w:hint="eastAsia"/>
        </w:rPr>
        <w:t>按“无害化、减量化、资源化”原则，做好固体废物分类收集、贮存工作，建立健全固体废物产生、收集、储存、转运、处置等相关管理台账，落实危险废物转移联单制度。严格按照《危险废物贮存污染控制标准》（GB18597-2023）</w:t>
      </w:r>
      <w:r>
        <w:t>和《危险废物收集贮存运输技术规范》（HJ2025-2012）</w:t>
      </w:r>
      <w:r>
        <w:rPr>
          <w:rFonts w:hint="eastAsia"/>
        </w:rPr>
        <w:t>等要求建设危险废物暂存间（甲类仓库内，面积49m</w:t>
      </w:r>
      <w:r>
        <w:rPr>
          <w:rFonts w:hint="eastAsia"/>
          <w:vertAlign w:val="superscript"/>
        </w:rPr>
        <w:t>2</w:t>
      </w:r>
      <w:r>
        <w:rPr>
          <w:rFonts w:hint="eastAsia"/>
        </w:rPr>
        <w:t>），项目产生的废包装、废包装桶、废活性炭、实验室废试剂瓶、高分子助剂废过滤渣及过滤介质、废水处理产生的污泥、实验废液、不合格产品等危险废物依规收集暂存于危废间，</w:t>
      </w:r>
      <w:r>
        <w:t>定期交</w:t>
      </w:r>
      <w:r>
        <w:rPr>
          <w:rFonts w:hint="eastAsia"/>
        </w:rPr>
        <w:t>由</w:t>
      </w:r>
      <w:r>
        <w:t>有资质的单位</w:t>
      </w:r>
      <w:r>
        <w:rPr>
          <w:rFonts w:hint="eastAsia"/>
        </w:rPr>
        <w:t>妥善</w:t>
      </w:r>
      <w:r>
        <w:t>处置</w:t>
      </w:r>
      <w:r>
        <w:rPr>
          <w:rFonts w:hint="eastAsia"/>
        </w:rPr>
        <w:t>。水性树脂废过滤渣、油性功能色浆废过滤渣、水性功能色浆废过滤渣、废边角料、甲类车间收集的粉尘、丙类车间收集的粉尘等一般固废均回用于生产，不外排。生活垃圾集中收集后由环卫部门定期清运，统一处理。</w:t>
      </w:r>
    </w:p>
    <w:p>
      <w:pPr>
        <w:ind w:firstLine="643"/>
      </w:pPr>
      <w:r>
        <w:rPr>
          <w:rFonts w:ascii="楷体_GB2312" w:hAnsi="楷体_GB2312" w:eastAsia="楷体_GB2312" w:cs="楷体_GB2312"/>
          <w:b/>
          <w:bCs/>
        </w:rPr>
        <w:t>（六）环境管理</w:t>
      </w:r>
      <w:r>
        <w:rPr>
          <w:rFonts w:hint="eastAsia" w:ascii="楷体_GB2312" w:hAnsi="楷体_GB2312" w:eastAsia="楷体_GB2312" w:cs="楷体_GB2312"/>
          <w:b/>
          <w:bCs/>
        </w:rPr>
        <w:t>和</w:t>
      </w:r>
      <w:r>
        <w:rPr>
          <w:rFonts w:ascii="楷体_GB2312" w:hAnsi="楷体_GB2312" w:eastAsia="楷体_GB2312" w:cs="楷体_GB2312"/>
          <w:b/>
          <w:bCs/>
        </w:rPr>
        <w:t>风险防范</w:t>
      </w:r>
      <w:r>
        <w:rPr>
          <w:rFonts w:hint="eastAsia" w:ascii="楷体_GB2312" w:hAnsi="楷体_GB2312" w:eastAsia="楷体_GB2312" w:cs="楷体_GB2312"/>
          <w:b/>
          <w:bCs/>
        </w:rPr>
        <w:t>工作</w:t>
      </w:r>
      <w:r>
        <w:rPr>
          <w:rFonts w:ascii="楷体_GB2312" w:hAnsi="楷体_GB2312" w:eastAsia="楷体_GB2312" w:cs="楷体_GB2312"/>
          <w:b/>
          <w:bCs/>
        </w:rPr>
        <w:t>。</w:t>
      </w:r>
      <w:r>
        <w:rPr>
          <w:rFonts w:hint="eastAsia"/>
        </w:rPr>
        <w:t>设置</w:t>
      </w:r>
      <w:r>
        <w:t>专门的环保机构</w:t>
      </w:r>
      <w:r>
        <w:rPr>
          <w:rFonts w:hint="eastAsia"/>
        </w:rPr>
        <w:t>，配备专职</w:t>
      </w:r>
      <w:r>
        <w:t>环保</w:t>
      </w:r>
      <w:r>
        <w:rPr>
          <w:rFonts w:hint="eastAsia"/>
        </w:rPr>
        <w:t>管理</w:t>
      </w:r>
      <w:r>
        <w:t>人员，</w:t>
      </w:r>
      <w:r>
        <w:rPr>
          <w:rFonts w:hint="eastAsia"/>
        </w:rPr>
        <w:t>加强生产设备、污防设施、环保设施的检修与保养及工人、</w:t>
      </w:r>
      <w:r>
        <w:t>管理人员培训工作，建立健全污染防治设施运行管理台账。加强日常监管，杜绝生产过程中的跑、冒、滴、漏，确保各污染防治设施的正常运行，各类污染物稳定达标排放。做好运营期环境监测工作，严格落实报告书提出的各项环境风险防范措施，按要求配齐各类泄漏检测探测报警仪器和监控、应急设施，</w:t>
      </w:r>
      <w:r>
        <w:rPr>
          <w:rFonts w:hint="eastAsia"/>
        </w:rPr>
        <w:t>根据</w:t>
      </w:r>
      <w:r>
        <w:t>《突发环境事件应急管理办法》</w:t>
      </w:r>
      <w:r>
        <w:rPr>
          <w:rFonts w:hint="eastAsia"/>
        </w:rPr>
        <w:t>制定</w:t>
      </w:r>
      <w:r>
        <w:t>突发环境事件应急预案，储备风险救助物资并定期组织演练，杜绝环境风险事故发生，确保周边环境安全。</w:t>
      </w:r>
    </w:p>
    <w:p>
      <w:pPr>
        <w:ind w:firstLine="643"/>
      </w:pPr>
      <w:r>
        <w:rPr>
          <w:rFonts w:ascii="楷体_GB2312" w:hAnsi="楷体_GB2312" w:eastAsia="楷体_GB2312" w:cs="楷体_GB2312"/>
          <w:b/>
          <w:bCs/>
        </w:rPr>
        <w:t>（</w:t>
      </w:r>
      <w:r>
        <w:rPr>
          <w:rFonts w:hint="eastAsia" w:ascii="楷体_GB2312" w:hAnsi="楷体_GB2312" w:eastAsia="楷体_GB2312" w:cs="楷体_GB2312"/>
          <w:b/>
          <w:bCs/>
        </w:rPr>
        <w:t>七</w:t>
      </w:r>
      <w:r>
        <w:rPr>
          <w:rFonts w:ascii="楷体_GB2312" w:hAnsi="楷体_GB2312" w:eastAsia="楷体_GB2312" w:cs="楷体_GB2312"/>
          <w:b/>
          <w:bCs/>
        </w:rPr>
        <w:t>）</w:t>
      </w:r>
      <w:r>
        <w:rPr>
          <w:rFonts w:hint="eastAsia" w:ascii="楷体_GB2312" w:hAnsi="楷体_GB2312" w:eastAsia="楷体_GB2312" w:cs="楷体_GB2312"/>
          <w:b/>
          <w:bCs/>
        </w:rPr>
        <w:t>污染物总量控制。</w:t>
      </w:r>
      <w:r>
        <w:t>项目</w:t>
      </w:r>
      <w:r>
        <w:rPr>
          <w:rFonts w:hint="eastAsia"/>
        </w:rPr>
        <w:t>变动后</w:t>
      </w:r>
      <w:r>
        <w:t>主要污染物总量</w:t>
      </w:r>
      <w:r>
        <w:rPr>
          <w:rFonts w:hint="eastAsia"/>
        </w:rPr>
        <w:t>控制指标为：</w:t>
      </w:r>
      <w:bookmarkEnd w:id="2"/>
      <w:r>
        <w:rPr>
          <w:rFonts w:hint="eastAsia"/>
        </w:rPr>
        <w:t>VOCs≤2.6021t/a、COD≤0.489t/a、NH</w:t>
      </w:r>
      <w:r>
        <w:rPr>
          <w:rFonts w:hint="eastAsia"/>
          <w:vertAlign w:val="subscript"/>
        </w:rPr>
        <w:t>3</w:t>
      </w:r>
      <w:r>
        <w:rPr>
          <w:rFonts w:hint="eastAsia"/>
        </w:rPr>
        <w:t>-N≤0.049t/a、SO</w:t>
      </w:r>
      <w:r>
        <w:rPr>
          <w:rFonts w:hint="eastAsia"/>
          <w:vertAlign w:val="subscript"/>
        </w:rPr>
        <w:t>2</w:t>
      </w:r>
      <w:r>
        <w:rPr>
          <w:rFonts w:hint="eastAsia"/>
        </w:rPr>
        <w:t>≤0.0384t/a</w:t>
      </w:r>
      <w:r>
        <w:rPr>
          <w:rFonts w:hint="eastAsia"/>
          <w:lang w:val="zh-CN"/>
        </w:rPr>
        <w:t>、</w:t>
      </w:r>
      <w:r>
        <w:rPr>
          <w:rFonts w:hint="eastAsia"/>
        </w:rPr>
        <w:t>NOx≤0.1628t/a，且原项目已购总量控制指标：</w:t>
      </w:r>
      <w:r>
        <w:t>COD</w:t>
      </w:r>
      <w:r>
        <w:rPr>
          <w:rFonts w:hint="eastAsia"/>
        </w:rPr>
        <w:t xml:space="preserve"> 0.4t</w:t>
      </w:r>
      <w:r>
        <w:t>/a</w:t>
      </w:r>
      <w:r>
        <w:rPr>
          <w:rFonts w:hint="eastAsia"/>
        </w:rPr>
        <w:t>、</w:t>
      </w:r>
      <w:r>
        <w:t>NH</w:t>
      </w:r>
      <w:r>
        <w:rPr>
          <w:vertAlign w:val="subscript"/>
        </w:rPr>
        <w:t>3</w:t>
      </w:r>
      <w:r>
        <w:t>-N</w:t>
      </w:r>
      <w:r>
        <w:rPr>
          <w:rFonts w:hint="eastAsia"/>
        </w:rPr>
        <w:t xml:space="preserve"> 0.1</w:t>
      </w:r>
      <w:r>
        <w:t>t/a</w:t>
      </w:r>
      <w:r>
        <w:rPr>
          <w:rFonts w:hint="eastAsia"/>
        </w:rPr>
        <w:t>、</w:t>
      </w:r>
      <w:r>
        <w:t>SO</w:t>
      </w:r>
      <w:r>
        <w:rPr>
          <w:vertAlign w:val="subscript"/>
        </w:rPr>
        <w:t>2</w:t>
      </w:r>
      <w:r>
        <w:rPr>
          <w:rFonts w:hint="eastAsia"/>
        </w:rPr>
        <w:t xml:space="preserve"> 0.1t</w:t>
      </w:r>
      <w:r>
        <w:t>/a</w:t>
      </w:r>
      <w:r>
        <w:rPr>
          <w:rFonts w:hint="eastAsia"/>
        </w:rPr>
        <w:t>、</w:t>
      </w:r>
      <w:r>
        <w:t>NOx</w:t>
      </w:r>
      <w:r>
        <w:rPr>
          <w:rFonts w:hint="eastAsia"/>
        </w:rPr>
        <w:t xml:space="preserve"> 0.2t</w:t>
      </w:r>
      <w:r>
        <w:t>/a</w:t>
      </w:r>
      <w:r>
        <w:rPr>
          <w:rFonts w:hint="eastAsia"/>
        </w:rPr>
        <w:t>，因此，本次变动项目须购买总量控制指标</w:t>
      </w:r>
      <w:r>
        <w:t>COD</w:t>
      </w:r>
      <w:r>
        <w:rPr>
          <w:rFonts w:hint="eastAsia"/>
        </w:rPr>
        <w:t xml:space="preserve"> 0.1t</w:t>
      </w:r>
      <w:r>
        <w:t>/a，</w:t>
      </w:r>
      <w:r>
        <w:rPr>
          <w:rFonts w:hint="eastAsia"/>
        </w:rPr>
        <w:t>可</w:t>
      </w:r>
      <w:r>
        <w:t>通过排污权交易的方式获得。</w:t>
      </w:r>
    </w:p>
    <w:p>
      <w:pPr>
        <w:rPr>
          <w:u w:val="single"/>
        </w:rPr>
      </w:pPr>
      <w:r>
        <w:t>三、你公司应于收到本批复后15个工作日内，将批复及批准的环评报告文件送</w:t>
      </w:r>
      <w:r>
        <w:rPr>
          <w:rFonts w:hint="eastAsia"/>
        </w:rPr>
        <w:t>至</w:t>
      </w:r>
      <w:r>
        <w:t>岳阳市生态环境局云溪分局、湖南美景环保科技咨询服务有限公司。</w:t>
      </w:r>
    </w:p>
    <w:p>
      <w:r>
        <w:t>四、请岳阳市生态环境局云溪分局负责项目建设和运营期的日常环境监管。</w:t>
      </w:r>
    </w:p>
    <w:p/>
    <w:p/>
    <w:p>
      <w:pPr>
        <w:ind w:firstLine="4480" w:firstLineChars="1400"/>
      </w:pPr>
      <w:r>
        <w:t>岳阳市生态环境局</w:t>
      </w:r>
    </w:p>
    <w:p>
      <w:pPr>
        <w:ind w:firstLine="4640" w:firstLineChars="1450"/>
      </w:pPr>
      <w:r>
        <w:t>2024年2月7日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154305</wp:posOffset>
              </wp:positionV>
              <wp:extent cx="1828800" cy="1828800"/>
              <wp:effectExtent l="0" t="0" r="2540" b="1143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PAGE   \* MERGEFORMAT</w:instrText>
                          </w:r>
                          <w:r>
                            <w:rPr>
                              <w:rFonts w:hint="eastAsia"/>
                            </w:rPr>
                            <w:fldChar w:fldCharType="separate"/>
                          </w:r>
                          <w:r>
                            <w:rPr>
                              <w:rFonts w:hint="eastAsia"/>
                            </w:rPr>
                            <w:t>- 7 -</w:t>
                          </w:r>
                          <w:r>
                            <w:rPr>
                              <w:rFonts w:hint="eastAsia"/>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15pt;height:144pt;width:144pt;mso-position-horizontal:center;mso-position-horizontal-relative:margin;mso-wrap-style:none;z-index:251659264;mso-width-relative:page;mso-height-relative:page;" filled="f" stroked="f" coordsize="21600,21600" o:gfxdata="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Dngs1QAAAAc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PAGE   \* MERGEFORMAT</w:instrText>
                    </w:r>
                    <w:r>
                      <w:rPr>
                        <w:rFonts w:hint="eastAsia"/>
                      </w:rPr>
                      <w:fldChar w:fldCharType="separate"/>
                    </w:r>
                    <w:r>
                      <w:rPr>
                        <w:rFonts w:hint="eastAsia"/>
                      </w:rPr>
                      <w:t>- 7 -</w:t>
                    </w:r>
                    <w:r>
                      <w:rPr>
                        <w:rFonts w:hint="eastAsia"/>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MDIxOTg1Y2IyNTIxZTQzNzE4NWY4NzljZDZiMDUifQ=="/>
  </w:docVars>
  <w:rsids>
    <w:rsidRoot w:val="001323B8"/>
    <w:rsid w:val="000168DF"/>
    <w:rsid w:val="000214BE"/>
    <w:rsid w:val="00025324"/>
    <w:rsid w:val="00054CCC"/>
    <w:rsid w:val="00062D2D"/>
    <w:rsid w:val="000720AB"/>
    <w:rsid w:val="000743E7"/>
    <w:rsid w:val="00081A5B"/>
    <w:rsid w:val="00084020"/>
    <w:rsid w:val="00093B3B"/>
    <w:rsid w:val="000977E1"/>
    <w:rsid w:val="000A5264"/>
    <w:rsid w:val="000A61EE"/>
    <w:rsid w:val="000B1251"/>
    <w:rsid w:val="000B39E1"/>
    <w:rsid w:val="000C0AB6"/>
    <w:rsid w:val="000C1C57"/>
    <w:rsid w:val="000E2741"/>
    <w:rsid w:val="000E2D29"/>
    <w:rsid w:val="00105E04"/>
    <w:rsid w:val="001323B8"/>
    <w:rsid w:val="00136489"/>
    <w:rsid w:val="00142915"/>
    <w:rsid w:val="00145B4C"/>
    <w:rsid w:val="00160ECB"/>
    <w:rsid w:val="001831B7"/>
    <w:rsid w:val="00187B1E"/>
    <w:rsid w:val="001A6AC2"/>
    <w:rsid w:val="001F1C99"/>
    <w:rsid w:val="001F70DD"/>
    <w:rsid w:val="002225F4"/>
    <w:rsid w:val="00223F5B"/>
    <w:rsid w:val="0023767A"/>
    <w:rsid w:val="002648F0"/>
    <w:rsid w:val="00282F2B"/>
    <w:rsid w:val="002C02BB"/>
    <w:rsid w:val="002C252B"/>
    <w:rsid w:val="002E1A60"/>
    <w:rsid w:val="002E54A8"/>
    <w:rsid w:val="003176BA"/>
    <w:rsid w:val="00325583"/>
    <w:rsid w:val="00327AFB"/>
    <w:rsid w:val="00351967"/>
    <w:rsid w:val="00355AE6"/>
    <w:rsid w:val="00360959"/>
    <w:rsid w:val="00367567"/>
    <w:rsid w:val="003A3FC1"/>
    <w:rsid w:val="003B7F63"/>
    <w:rsid w:val="003C24CD"/>
    <w:rsid w:val="003D38EF"/>
    <w:rsid w:val="003E3631"/>
    <w:rsid w:val="003E4B4C"/>
    <w:rsid w:val="00437CE2"/>
    <w:rsid w:val="00463EF9"/>
    <w:rsid w:val="004A039F"/>
    <w:rsid w:val="004B2EB6"/>
    <w:rsid w:val="004D4187"/>
    <w:rsid w:val="004D7F9B"/>
    <w:rsid w:val="004E253F"/>
    <w:rsid w:val="004E6BB7"/>
    <w:rsid w:val="00502990"/>
    <w:rsid w:val="00504F98"/>
    <w:rsid w:val="00512A82"/>
    <w:rsid w:val="00534497"/>
    <w:rsid w:val="0055108A"/>
    <w:rsid w:val="00565787"/>
    <w:rsid w:val="005D441A"/>
    <w:rsid w:val="006034B9"/>
    <w:rsid w:val="00606830"/>
    <w:rsid w:val="006433A5"/>
    <w:rsid w:val="006600F0"/>
    <w:rsid w:val="006949E9"/>
    <w:rsid w:val="006C4DEA"/>
    <w:rsid w:val="006D754F"/>
    <w:rsid w:val="006F031A"/>
    <w:rsid w:val="0072600A"/>
    <w:rsid w:val="00730562"/>
    <w:rsid w:val="0075008C"/>
    <w:rsid w:val="00775184"/>
    <w:rsid w:val="00791A99"/>
    <w:rsid w:val="007A6E15"/>
    <w:rsid w:val="00816295"/>
    <w:rsid w:val="00846658"/>
    <w:rsid w:val="00862151"/>
    <w:rsid w:val="0086571F"/>
    <w:rsid w:val="00877717"/>
    <w:rsid w:val="008A70F8"/>
    <w:rsid w:val="008D189C"/>
    <w:rsid w:val="008D1D47"/>
    <w:rsid w:val="008D2281"/>
    <w:rsid w:val="008E52DF"/>
    <w:rsid w:val="008F56D1"/>
    <w:rsid w:val="0090569B"/>
    <w:rsid w:val="009079E2"/>
    <w:rsid w:val="009121BF"/>
    <w:rsid w:val="009163E7"/>
    <w:rsid w:val="0093668C"/>
    <w:rsid w:val="00942DF8"/>
    <w:rsid w:val="009551B6"/>
    <w:rsid w:val="00972DA6"/>
    <w:rsid w:val="009A7032"/>
    <w:rsid w:val="009B4A2A"/>
    <w:rsid w:val="009E4AF8"/>
    <w:rsid w:val="009E5E22"/>
    <w:rsid w:val="009F16F4"/>
    <w:rsid w:val="00A51576"/>
    <w:rsid w:val="00A71BA3"/>
    <w:rsid w:val="00A74B19"/>
    <w:rsid w:val="00AF0651"/>
    <w:rsid w:val="00AF6464"/>
    <w:rsid w:val="00B02F20"/>
    <w:rsid w:val="00B25EB3"/>
    <w:rsid w:val="00B47F44"/>
    <w:rsid w:val="00BE5294"/>
    <w:rsid w:val="00C02EBA"/>
    <w:rsid w:val="00C5223E"/>
    <w:rsid w:val="00C56BC1"/>
    <w:rsid w:val="00C64D64"/>
    <w:rsid w:val="00C65724"/>
    <w:rsid w:val="00C72450"/>
    <w:rsid w:val="00C96C39"/>
    <w:rsid w:val="00CB5A0E"/>
    <w:rsid w:val="00CB7D1B"/>
    <w:rsid w:val="00CC3BE6"/>
    <w:rsid w:val="00CE20A8"/>
    <w:rsid w:val="00CF535D"/>
    <w:rsid w:val="00D26E32"/>
    <w:rsid w:val="00D73A95"/>
    <w:rsid w:val="00DA0B02"/>
    <w:rsid w:val="00DF65C6"/>
    <w:rsid w:val="00E038AD"/>
    <w:rsid w:val="00E24ED0"/>
    <w:rsid w:val="00E30FA7"/>
    <w:rsid w:val="00E42D18"/>
    <w:rsid w:val="00E55B49"/>
    <w:rsid w:val="00E65E3E"/>
    <w:rsid w:val="00E76989"/>
    <w:rsid w:val="00E90426"/>
    <w:rsid w:val="00EA5A98"/>
    <w:rsid w:val="00EB65FE"/>
    <w:rsid w:val="00ED27CD"/>
    <w:rsid w:val="00EF7E58"/>
    <w:rsid w:val="00F032EF"/>
    <w:rsid w:val="00F213C4"/>
    <w:rsid w:val="00F27B8F"/>
    <w:rsid w:val="00F46684"/>
    <w:rsid w:val="00F530E2"/>
    <w:rsid w:val="00F749C4"/>
    <w:rsid w:val="00F86439"/>
    <w:rsid w:val="00FA254C"/>
    <w:rsid w:val="00FC56B8"/>
    <w:rsid w:val="00FE3FEC"/>
    <w:rsid w:val="00FF2AD4"/>
    <w:rsid w:val="013C246A"/>
    <w:rsid w:val="014337F8"/>
    <w:rsid w:val="019C2893"/>
    <w:rsid w:val="01B666C0"/>
    <w:rsid w:val="02073C59"/>
    <w:rsid w:val="047506DC"/>
    <w:rsid w:val="04A94BDB"/>
    <w:rsid w:val="04B23BE4"/>
    <w:rsid w:val="062F07EF"/>
    <w:rsid w:val="069310A1"/>
    <w:rsid w:val="06EC048E"/>
    <w:rsid w:val="07E850FA"/>
    <w:rsid w:val="083D5D6A"/>
    <w:rsid w:val="090855C9"/>
    <w:rsid w:val="09B94653"/>
    <w:rsid w:val="0A4C6E60"/>
    <w:rsid w:val="0A6273E5"/>
    <w:rsid w:val="0B0C127B"/>
    <w:rsid w:val="0C0E1635"/>
    <w:rsid w:val="0DC61A39"/>
    <w:rsid w:val="0E183946"/>
    <w:rsid w:val="0F9A4F2B"/>
    <w:rsid w:val="0FA1275E"/>
    <w:rsid w:val="102A195A"/>
    <w:rsid w:val="113849FC"/>
    <w:rsid w:val="116F1D32"/>
    <w:rsid w:val="118D5872"/>
    <w:rsid w:val="12347C54"/>
    <w:rsid w:val="12D67868"/>
    <w:rsid w:val="14075223"/>
    <w:rsid w:val="14411045"/>
    <w:rsid w:val="149C2DB4"/>
    <w:rsid w:val="14DC1BF8"/>
    <w:rsid w:val="14FE41AE"/>
    <w:rsid w:val="15E41ADB"/>
    <w:rsid w:val="16102CDA"/>
    <w:rsid w:val="162C08A7"/>
    <w:rsid w:val="178D1284"/>
    <w:rsid w:val="17C5407D"/>
    <w:rsid w:val="18640274"/>
    <w:rsid w:val="18803DEB"/>
    <w:rsid w:val="19616ABA"/>
    <w:rsid w:val="198E7E24"/>
    <w:rsid w:val="19A60971"/>
    <w:rsid w:val="1B1E2EB4"/>
    <w:rsid w:val="1B336E36"/>
    <w:rsid w:val="1BD31F17"/>
    <w:rsid w:val="1BDF4A03"/>
    <w:rsid w:val="1C161B0F"/>
    <w:rsid w:val="1C2E35CB"/>
    <w:rsid w:val="1C572A4E"/>
    <w:rsid w:val="1E47554E"/>
    <w:rsid w:val="1E4A51C0"/>
    <w:rsid w:val="1ED61CF8"/>
    <w:rsid w:val="212312EA"/>
    <w:rsid w:val="216D52B0"/>
    <w:rsid w:val="21935C7E"/>
    <w:rsid w:val="21AD0AEE"/>
    <w:rsid w:val="234E5044"/>
    <w:rsid w:val="23E10F23"/>
    <w:rsid w:val="24C820E3"/>
    <w:rsid w:val="260C6193"/>
    <w:rsid w:val="262B46D7"/>
    <w:rsid w:val="26311CB5"/>
    <w:rsid w:val="264439EB"/>
    <w:rsid w:val="26EE2C57"/>
    <w:rsid w:val="26F21DD1"/>
    <w:rsid w:val="29220014"/>
    <w:rsid w:val="297A7E50"/>
    <w:rsid w:val="2A3A138D"/>
    <w:rsid w:val="2CB264F6"/>
    <w:rsid w:val="2D2A56E9"/>
    <w:rsid w:val="2EA34064"/>
    <w:rsid w:val="2F91498D"/>
    <w:rsid w:val="309D4424"/>
    <w:rsid w:val="317C228B"/>
    <w:rsid w:val="31AA12C4"/>
    <w:rsid w:val="31B57210"/>
    <w:rsid w:val="327B69E7"/>
    <w:rsid w:val="329B201F"/>
    <w:rsid w:val="33010C9A"/>
    <w:rsid w:val="33C0637E"/>
    <w:rsid w:val="33F6401E"/>
    <w:rsid w:val="34A75871"/>
    <w:rsid w:val="35712D26"/>
    <w:rsid w:val="36B349A1"/>
    <w:rsid w:val="36E578BB"/>
    <w:rsid w:val="370E3D51"/>
    <w:rsid w:val="379325B5"/>
    <w:rsid w:val="37AC0A65"/>
    <w:rsid w:val="37D82779"/>
    <w:rsid w:val="387B7CB7"/>
    <w:rsid w:val="3AAD160E"/>
    <w:rsid w:val="3B334302"/>
    <w:rsid w:val="3B3F61FF"/>
    <w:rsid w:val="3C634669"/>
    <w:rsid w:val="3D344362"/>
    <w:rsid w:val="3DEC5CC6"/>
    <w:rsid w:val="3E8922E2"/>
    <w:rsid w:val="3F091858"/>
    <w:rsid w:val="3F322AD5"/>
    <w:rsid w:val="402D4001"/>
    <w:rsid w:val="423D767B"/>
    <w:rsid w:val="42DF6ECC"/>
    <w:rsid w:val="4315253F"/>
    <w:rsid w:val="43394480"/>
    <w:rsid w:val="43615E0B"/>
    <w:rsid w:val="43BC29BB"/>
    <w:rsid w:val="4476700E"/>
    <w:rsid w:val="44C66A64"/>
    <w:rsid w:val="46603128"/>
    <w:rsid w:val="46962A8B"/>
    <w:rsid w:val="47766090"/>
    <w:rsid w:val="48441F90"/>
    <w:rsid w:val="4B2C48CA"/>
    <w:rsid w:val="4B516FDD"/>
    <w:rsid w:val="4C1C7F68"/>
    <w:rsid w:val="4C547A9E"/>
    <w:rsid w:val="4CB16E35"/>
    <w:rsid w:val="4E092CA1"/>
    <w:rsid w:val="4E6D76D3"/>
    <w:rsid w:val="50EA4A7A"/>
    <w:rsid w:val="51D216B0"/>
    <w:rsid w:val="51E47CAD"/>
    <w:rsid w:val="52836045"/>
    <w:rsid w:val="53A96AB8"/>
    <w:rsid w:val="54540146"/>
    <w:rsid w:val="55B41744"/>
    <w:rsid w:val="55DC2777"/>
    <w:rsid w:val="56091452"/>
    <w:rsid w:val="56EE5C36"/>
    <w:rsid w:val="576F208E"/>
    <w:rsid w:val="5AF50835"/>
    <w:rsid w:val="5D860167"/>
    <w:rsid w:val="5E023994"/>
    <w:rsid w:val="5E361890"/>
    <w:rsid w:val="5F166B41"/>
    <w:rsid w:val="5FC907CD"/>
    <w:rsid w:val="5FE1582B"/>
    <w:rsid w:val="60522285"/>
    <w:rsid w:val="60E2185B"/>
    <w:rsid w:val="61251748"/>
    <w:rsid w:val="62347E94"/>
    <w:rsid w:val="624F2F20"/>
    <w:rsid w:val="64B82FFF"/>
    <w:rsid w:val="66377F53"/>
    <w:rsid w:val="6648476D"/>
    <w:rsid w:val="664A6E31"/>
    <w:rsid w:val="665A00E6"/>
    <w:rsid w:val="66A23F66"/>
    <w:rsid w:val="67234D05"/>
    <w:rsid w:val="675C0AA3"/>
    <w:rsid w:val="67BA52E0"/>
    <w:rsid w:val="67EB36EB"/>
    <w:rsid w:val="683D085A"/>
    <w:rsid w:val="68E22286"/>
    <w:rsid w:val="69CD5339"/>
    <w:rsid w:val="6A18009C"/>
    <w:rsid w:val="6AE12B83"/>
    <w:rsid w:val="6AE67B40"/>
    <w:rsid w:val="6BE7241B"/>
    <w:rsid w:val="6CB01A34"/>
    <w:rsid w:val="6ED924EF"/>
    <w:rsid w:val="6F886237"/>
    <w:rsid w:val="70280F99"/>
    <w:rsid w:val="70827D2B"/>
    <w:rsid w:val="70B7060E"/>
    <w:rsid w:val="71264D21"/>
    <w:rsid w:val="72AA1412"/>
    <w:rsid w:val="737762FB"/>
    <w:rsid w:val="73A66718"/>
    <w:rsid w:val="73EC7414"/>
    <w:rsid w:val="73F17012"/>
    <w:rsid w:val="743F6371"/>
    <w:rsid w:val="758F7A00"/>
    <w:rsid w:val="75F06371"/>
    <w:rsid w:val="765E152C"/>
    <w:rsid w:val="769314D3"/>
    <w:rsid w:val="76D01F34"/>
    <w:rsid w:val="77CA47F5"/>
    <w:rsid w:val="7B104178"/>
    <w:rsid w:val="7CB41EA6"/>
    <w:rsid w:val="7D3C1F56"/>
    <w:rsid w:val="7E350CB0"/>
    <w:rsid w:val="7EB0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640" w:firstLineChars="200"/>
      <w:jc w:val="both"/>
    </w:pPr>
    <w:rPr>
      <w:rFonts w:ascii="Times New Roman" w:hAnsi="Times New Roman" w:eastAsia="仿宋_GB2312" w:cs="Times New Roman"/>
      <w:color w:val="000000"/>
      <w:kern w:val="2"/>
      <w:sz w:val="32"/>
      <w:szCs w:val="32"/>
      <w:lang w:val="en-US" w:eastAsia="zh-CN" w:bidi="ar-SA"/>
      <w14:ligatures w14:val="standardContextual"/>
    </w:rPr>
  </w:style>
  <w:style w:type="character" w:default="1" w:styleId="5">
    <w:name w:val="Default Paragraph Font"/>
    <w:autoRedefine/>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pacing w:line="240" w:lineRule="auto"/>
      <w:ind w:firstLine="0" w:firstLineChars="0"/>
      <w:jc w:val="center"/>
    </w:pPr>
    <w:rPr>
      <w:rFonts w:ascii="仿宋_GB2312"/>
      <w:kern w:val="0"/>
      <w:sz w:val="21"/>
      <w:szCs w:val="21"/>
      <w14:ligatures w14:val="none"/>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qFormat/>
    <w:uiPriority w:val="99"/>
    <w:rPr>
      <w:rFonts w:ascii="仿宋_GB2312" w:eastAsia="仿宋_GB2312"/>
      <w:color w:val="000000"/>
      <w:sz w:val="21"/>
      <w:szCs w:val="21"/>
    </w:rPr>
  </w:style>
  <w:style w:type="paragraph" w:styleId="9">
    <w:name w:val="List Paragraph"/>
    <w:basedOn w:val="1"/>
    <w:autoRedefine/>
    <w:unhideWhenUsed/>
    <w:qFormat/>
    <w:uiPriority w:val="99"/>
    <w:pPr>
      <w:ind w:firstLine="420"/>
    </w:pPr>
  </w:style>
  <w:style w:type="character" w:customStyle="1" w:styleId="10">
    <w:name w:val="font11"/>
    <w:basedOn w:val="5"/>
    <w:autoRedefine/>
    <w:qFormat/>
    <w:uiPriority w:val="0"/>
    <w:rPr>
      <w:rFonts w:hint="eastAsia" w:ascii="宋体" w:hAnsi="宋体" w:eastAsia="宋体" w:cs="宋体"/>
      <w:color w:val="000000"/>
      <w:sz w:val="21"/>
      <w:szCs w:val="21"/>
      <w:u w:val="none"/>
    </w:rPr>
  </w:style>
  <w:style w:type="character" w:customStyle="1" w:styleId="11">
    <w:name w:val="font21"/>
    <w:basedOn w:val="5"/>
    <w:autoRedefine/>
    <w:qFormat/>
    <w:uiPriority w:val="0"/>
    <w:rPr>
      <w:rFonts w:hint="eastAsia" w:ascii="宋体" w:hAnsi="宋体" w:eastAsia="宋体" w:cs="宋体"/>
      <w:b/>
      <w:bCs/>
      <w:color w:val="000000"/>
      <w:sz w:val="21"/>
      <w:szCs w:val="21"/>
      <w:u w:val="none"/>
    </w:rPr>
  </w:style>
  <w:style w:type="character" w:customStyle="1" w:styleId="12">
    <w:name w:val="font41"/>
    <w:basedOn w:val="5"/>
    <w:uiPriority w:val="0"/>
    <w:rPr>
      <w:rFonts w:hint="default" w:ascii="Times New Roman" w:hAnsi="Times New Roman" w:cs="Times New Roman"/>
      <w:color w:val="000000"/>
      <w:sz w:val="21"/>
      <w:szCs w:val="21"/>
      <w:u w:val="none"/>
    </w:rPr>
  </w:style>
  <w:style w:type="character" w:customStyle="1" w:styleId="13">
    <w:name w:val="font31"/>
    <w:basedOn w:val="5"/>
    <w:autoRedefine/>
    <w:qFormat/>
    <w:uiPriority w:val="0"/>
    <w:rPr>
      <w:rFonts w:hint="default" w:ascii="Times New Roman" w:hAnsi="Times New Roman" w:cs="Times New Roman"/>
      <w:b/>
      <w:bCs/>
      <w:color w:val="000000"/>
      <w:sz w:val="21"/>
      <w:szCs w:val="21"/>
      <w:u w:val="none"/>
    </w:rPr>
  </w:style>
  <w:style w:type="paragraph" w:customStyle="1" w:styleId="14">
    <w:name w:val="表格"/>
    <w:next w:val="1"/>
    <w:autoRedefine/>
    <w:qFormat/>
    <w:uiPriority w:val="0"/>
    <w:pPr>
      <w:adjustRightInd w:val="0"/>
      <w:jc w:val="center"/>
      <w:textAlignment w:val="center"/>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745</Words>
  <Characters>4249</Characters>
  <Lines>35</Lines>
  <Paragraphs>9</Paragraphs>
  <TotalTime>9</TotalTime>
  <ScaleCrop>false</ScaleCrop>
  <LinksUpToDate>false</LinksUpToDate>
  <CharactersWithSpaces>4985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2024-02-01T09:39:00Z</dcterms:created>
  <dc:creator>Administrator</dc:creator>
  <cp:lastModifiedBy>曾政嘉</cp:lastModifiedBy>
  <cp:lastPrinted>2024-02-07T05:41:00Z</cp:lastPrinted>
  <dcterms:modified xsi:type="dcterms:W3CDTF">2024-02-07T06:10:59Z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20115FE2154C4148A73BC3EC33F65FD6_13</vt:lpwstr>
  </property>
</Properties>
</file>