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ascii="仿宋" w:hAnsi="仿宋" w:eastAsia="仿宋" w:cs="仿宋"/>
          <w:sz w:val="32"/>
          <w:szCs w:val="32"/>
        </w:rPr>
      </w:pPr>
    </w:p>
    <w:p>
      <w:pPr>
        <w:spacing w:line="600" w:lineRule="exact"/>
        <w:jc w:val="center"/>
        <w:rPr>
          <w:rFonts w:hint="eastAsia" w:ascii="仿宋" w:hAnsi="仿宋" w:eastAsia="仿宋" w:cs="仿宋"/>
          <w:sz w:val="32"/>
          <w:szCs w:val="32"/>
        </w:rPr>
      </w:pPr>
    </w:p>
    <w:p>
      <w:pPr>
        <w:spacing w:line="600" w:lineRule="exact"/>
        <w:jc w:val="center"/>
        <w:rPr>
          <w:rFonts w:hint="eastAsia" w:ascii="仿宋" w:hAnsi="仿宋" w:eastAsia="仿宋" w:cs="仿宋"/>
          <w:sz w:val="32"/>
          <w:szCs w:val="32"/>
        </w:rPr>
      </w:pPr>
    </w:p>
    <w:p>
      <w:pPr>
        <w:spacing w:line="600" w:lineRule="exact"/>
        <w:ind w:firstLine="488" w:firstLineChars="200"/>
        <w:jc w:val="center"/>
        <w:rPr>
          <w:rFonts w:hint="eastAsia" w:ascii="仿宋" w:hAnsi="仿宋" w:eastAsia="仿宋" w:cs="仿宋"/>
          <w:color w:val="000000"/>
          <w:spacing w:val="-28"/>
          <w:sz w:val="30"/>
          <w:szCs w:val="30"/>
        </w:rPr>
      </w:pPr>
      <w:r>
        <w:rPr>
          <w:rFonts w:hint="eastAsia" w:ascii="仿宋" w:hAnsi="仿宋" w:eastAsia="仿宋" w:cs="仿宋"/>
          <w:color w:val="000000"/>
          <w:spacing w:val="-28"/>
          <w:sz w:val="30"/>
          <w:szCs w:val="30"/>
          <w:lang w:val="en-US" w:eastAsia="zh-CN"/>
        </w:rPr>
        <w:t xml:space="preserve">                                                      </w:t>
      </w:r>
      <w:r>
        <w:rPr>
          <w:rFonts w:hint="eastAsia" w:ascii="仿宋" w:hAnsi="仿宋" w:eastAsia="仿宋" w:cs="仿宋"/>
          <w:color w:val="000000"/>
          <w:spacing w:val="-28"/>
          <w:sz w:val="30"/>
          <w:szCs w:val="30"/>
        </w:rPr>
        <w:t>岳环评〔2023〕</w:t>
      </w:r>
      <w:r>
        <w:rPr>
          <w:rFonts w:hint="eastAsia" w:ascii="仿宋" w:hAnsi="仿宋" w:eastAsia="仿宋" w:cs="仿宋"/>
          <w:color w:val="000000"/>
          <w:spacing w:val="-28"/>
          <w:sz w:val="30"/>
          <w:szCs w:val="30"/>
          <w:lang w:val="en-US" w:eastAsia="zh-CN"/>
        </w:rPr>
        <w:t>73</w:t>
      </w:r>
      <w:r>
        <w:rPr>
          <w:rFonts w:hint="eastAsia" w:ascii="仿宋" w:hAnsi="仿宋" w:eastAsia="仿宋" w:cs="仿宋"/>
          <w:color w:val="000000"/>
          <w:spacing w:val="-28"/>
          <w:sz w:val="30"/>
          <w:szCs w:val="30"/>
        </w:rPr>
        <w:t>号</w:t>
      </w:r>
    </w:p>
    <w:p>
      <w:pPr>
        <w:keepNext w:val="0"/>
        <w:keepLines w:val="0"/>
        <w:pageBreakBefore w:val="0"/>
        <w:widowControl w:val="0"/>
        <w:kinsoku/>
        <w:wordWrap/>
        <w:overflowPunct/>
        <w:topLinePunct w:val="0"/>
        <w:autoSpaceDE/>
        <w:autoSpaceDN/>
        <w:bidi w:val="0"/>
        <w:adjustRightInd/>
        <w:snapToGrid/>
        <w:spacing w:after="157" w:afterLines="50" w:line="600" w:lineRule="exact"/>
        <w:jc w:val="center"/>
        <w:textAlignment w:val="auto"/>
        <w:rPr>
          <w:rFonts w:hint="eastAsia" w:ascii="仿宋" w:hAnsi="仿宋" w:eastAsia="仿宋" w:cs="仿宋"/>
          <w:sz w:val="32"/>
          <w:szCs w:val="32"/>
        </w:rPr>
      </w:pPr>
      <w:r>
        <w:rPr>
          <w:rFonts w:hint="eastAsia" w:ascii="仿宋" w:hAnsi="仿宋" w:eastAsia="仿宋" w:cs="仿宋"/>
          <w:b/>
          <w:bCs/>
          <w:snapToGrid w:val="0"/>
          <w:spacing w:val="-45"/>
          <w:sz w:val="44"/>
          <w:szCs w:val="44"/>
        </w:rPr>
        <w:t>关于湖南岳化新材料股份有限公司45万吨/年尼龙-6聚合项目（一期）环境影响报告书的批复</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2"/>
          <w:szCs w:val="32"/>
        </w:rPr>
      </w:pPr>
      <w:r>
        <w:rPr>
          <w:rFonts w:hint="eastAsia" w:ascii="仿宋" w:hAnsi="仿宋" w:eastAsia="仿宋" w:cs="仿宋"/>
          <w:sz w:val="32"/>
          <w:szCs w:val="32"/>
        </w:rPr>
        <w:t>湖南岳化新材料股份有限公司：</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你公司报送的《湖南岳化新材料股份有限公司45万吨/年尼龙-6聚合项目（一期）环境影响报告书报批申请书》、岳阳市生态环境事务中心《湖南岳化新材料股份有限公司45万吨/年尼龙-6聚合项目（一期）环境影响报告书技术评估报告》（岳环事评估</w:t>
      </w:r>
      <w:r>
        <w:rPr>
          <w:rFonts w:hint="eastAsia" w:ascii="仿宋" w:hAnsi="仿宋" w:eastAsia="仿宋" w:cs="仿宋"/>
          <w:color w:val="000000"/>
          <w:sz w:val="32"/>
          <w:szCs w:val="32"/>
        </w:rPr>
        <w:t>〔2023〕</w:t>
      </w:r>
      <w:r>
        <w:rPr>
          <w:rFonts w:hint="eastAsia" w:ascii="仿宋" w:hAnsi="仿宋" w:eastAsia="仿宋" w:cs="仿宋"/>
          <w:sz w:val="32"/>
          <w:szCs w:val="32"/>
        </w:rPr>
        <w:t>69号）、</w:t>
      </w:r>
      <w:r>
        <w:rPr>
          <w:rFonts w:hint="eastAsia" w:ascii="仿宋" w:hAnsi="仿宋" w:eastAsia="仿宋" w:cs="仿宋"/>
          <w:sz w:val="32"/>
          <w:szCs w:val="32"/>
          <w:lang w:val="zh-CN"/>
        </w:rPr>
        <w:t>岳阳市生态环境局云溪分局预审意见</w:t>
      </w:r>
      <w:r>
        <w:rPr>
          <w:rFonts w:hint="eastAsia" w:ascii="仿宋" w:hAnsi="仿宋" w:eastAsia="仿宋" w:cs="仿宋"/>
          <w:sz w:val="32"/>
          <w:szCs w:val="32"/>
        </w:rPr>
        <w:t>及相关附件已收悉。经研究，批复如下：</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 w:hAnsi="仿宋" w:eastAsia="仿宋" w:cs="仿宋"/>
          <w:sz w:val="32"/>
          <w:szCs w:val="32"/>
        </w:rPr>
        <w:sectPr>
          <w:footerReference r:id="rId4" w:type="first"/>
          <w:footerReference r:id="rId3" w:type="default"/>
          <w:pgSz w:w="11906" w:h="16838"/>
          <w:pgMar w:top="1440" w:right="1800" w:bottom="1440" w:left="1800" w:header="851" w:footer="992" w:gutter="0"/>
          <w:pgNumType w:fmt="numberInDash" w:start="2"/>
          <w:cols w:space="720" w:num="1"/>
          <w:docGrid w:type="lines" w:linePitch="312" w:charSpace="0"/>
        </w:sectPr>
      </w:pPr>
      <w:r>
        <w:rPr>
          <w:rFonts w:hint="eastAsia" w:ascii="仿宋" w:hAnsi="仿宋" w:eastAsia="仿宋" w:cs="仿宋"/>
          <w:sz w:val="32"/>
          <w:szCs w:val="32"/>
        </w:rPr>
        <w:t>一、本项目（一期）选址位于湖南岳阳绿色化工高新技术产业开发区云溪片区，为新建项目，一期工程净用地面积95056.25m</w:t>
      </w:r>
      <w:r>
        <w:rPr>
          <w:rFonts w:hint="eastAsia" w:ascii="仿宋" w:hAnsi="仿宋" w:eastAsia="仿宋" w:cs="仿宋"/>
          <w:sz w:val="32"/>
          <w:szCs w:val="32"/>
          <w:vertAlign w:val="superscript"/>
        </w:rPr>
        <w:t>2</w:t>
      </w:r>
      <w:r>
        <w:rPr>
          <w:rFonts w:hint="eastAsia" w:ascii="仿宋" w:hAnsi="仿宋" w:eastAsia="仿宋" w:cs="仿宋"/>
          <w:sz w:val="32"/>
          <w:szCs w:val="32"/>
        </w:rPr>
        <w:t>。项目一期工程主要建设内容为：30万吨/年尼龙-6聚合切片（4条215吨/天的生产线）及配套工程，包括新建1#聚合厂房生产单元；热媒站、冷冻站、萃取水罐组等配套系统；己内酰胺罐组、1#仓库等储运系统；综合办公楼、职工食堂、机修车间等辅助生产设施以及配电所、污水池、事故水池等其他配套设施。项目主要原辅材料为己内酰胺、二氧化钛、对苯二甲酸（PTA）、稳定剂SEED等，通过添加剂配置、聚合、切粒、萃取、干燥等生产工艺，年产30万吨尼龙-6切片，包括7.5万吨半消光高速纺切片、7.5万吨消光高速纺切片、7.5万吨膜级切片及7.5万吨工程塑料级切片。项目总投资100003万元，其中环保投资1031.5万元。根据湖南宏晟环保技术研究院有限公司</w:t>
      </w:r>
      <w:r>
        <w:rPr>
          <w:rFonts w:hint="eastAsia" w:ascii="仿宋" w:hAnsi="仿宋" w:eastAsia="仿宋" w:cs="仿宋"/>
          <w:sz w:val="32"/>
          <w:szCs w:val="32"/>
          <w:lang w:val="zh-CN"/>
        </w:rPr>
        <w:t>编制的《</w:t>
      </w:r>
      <w:r>
        <w:rPr>
          <w:rFonts w:hint="eastAsia" w:ascii="仿宋" w:hAnsi="仿宋" w:eastAsia="仿宋" w:cs="仿宋"/>
          <w:sz w:val="32"/>
          <w:szCs w:val="32"/>
        </w:rPr>
        <w:t>湖南岳化新材料股份有限公司45万吨/年尼龙-6聚合项目（一期）环境影响报告书</w:t>
      </w:r>
      <w:r>
        <w:rPr>
          <w:rFonts w:hint="eastAsia" w:ascii="仿宋" w:hAnsi="仿宋" w:eastAsia="仿宋" w:cs="仿宋"/>
          <w:sz w:val="32"/>
          <w:szCs w:val="32"/>
          <w:lang w:val="zh-CN"/>
        </w:rPr>
        <w:t>》基本内容、结论、专家评审意见和</w:t>
      </w:r>
      <w:r>
        <w:rPr>
          <w:rFonts w:hint="eastAsia" w:ascii="仿宋" w:hAnsi="仿宋" w:eastAsia="仿宋" w:cs="仿宋"/>
          <w:sz w:val="32"/>
          <w:szCs w:val="32"/>
        </w:rPr>
        <w:t>岳阳市</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2"/>
          <w:szCs w:val="32"/>
          <w:lang w:val="zh-CN"/>
        </w:rPr>
      </w:pPr>
      <w:r>
        <w:rPr>
          <w:rFonts w:hint="eastAsia" w:ascii="仿宋" w:hAnsi="仿宋" w:eastAsia="仿宋" w:cs="仿宋"/>
          <w:sz w:val="32"/>
          <w:szCs w:val="32"/>
        </w:rPr>
        <w:t>生态环境事务中心《湖南岳化新材料股份有限公司45万吨/年尼龙-6聚合项目（一期）环境影响报告书技术评估报告》以及</w:t>
      </w:r>
      <w:r>
        <w:rPr>
          <w:rFonts w:hint="eastAsia" w:ascii="仿宋" w:hAnsi="仿宋" w:eastAsia="仿宋" w:cs="仿宋"/>
          <w:sz w:val="32"/>
          <w:szCs w:val="32"/>
          <w:lang w:val="zh-CN"/>
        </w:rPr>
        <w:t>岳阳市生态环境局云溪分局预审意见，从环境保护角度考虑，我局原则同意</w:t>
      </w:r>
      <w:r>
        <w:rPr>
          <w:rFonts w:hint="eastAsia" w:ascii="仿宋" w:hAnsi="仿宋" w:eastAsia="仿宋" w:cs="仿宋"/>
          <w:sz w:val="32"/>
          <w:szCs w:val="32"/>
        </w:rPr>
        <w:t>你公司报告书</w:t>
      </w:r>
      <w:r>
        <w:rPr>
          <w:rFonts w:hint="eastAsia" w:ascii="仿宋" w:hAnsi="仿宋" w:eastAsia="仿宋" w:cs="仿宋"/>
          <w:sz w:val="32"/>
          <w:szCs w:val="32"/>
          <w:lang w:val="zh-CN"/>
        </w:rPr>
        <w:t>中所列建设项目的环境影响评价结论和环境保护对策措施。</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二、项目建设和运营必须全面落实环境影响报告书提出的各项环保措施，并着重做好以下工作：</w:t>
      </w:r>
    </w:p>
    <w:p>
      <w:pPr>
        <w:keepNext w:val="0"/>
        <w:keepLines w:val="0"/>
        <w:pageBreakBefore w:val="0"/>
        <w:widowControl w:val="0"/>
        <w:kinsoku/>
        <w:wordWrap/>
        <w:overflowPunct/>
        <w:topLinePunct w:val="0"/>
        <w:autoSpaceDE/>
        <w:autoSpaceDN/>
        <w:bidi w:val="0"/>
        <w:adjustRightInd/>
        <w:snapToGrid/>
        <w:spacing w:line="440" w:lineRule="exact"/>
        <w:ind w:firstLine="643" w:firstLineChars="200"/>
        <w:textAlignment w:val="auto"/>
        <w:rPr>
          <w:rFonts w:hint="eastAsia" w:ascii="仿宋" w:hAnsi="仿宋" w:eastAsia="仿宋" w:cs="仿宋"/>
          <w:sz w:val="32"/>
          <w:szCs w:val="32"/>
        </w:rPr>
      </w:pPr>
      <w:bookmarkStart w:id="0" w:name="OLE_LINK4"/>
      <w:bookmarkStart w:id="1" w:name="OLE_LINK9"/>
      <w:r>
        <w:rPr>
          <w:rFonts w:hint="eastAsia" w:ascii="仿宋" w:hAnsi="仿宋" w:eastAsia="仿宋" w:cs="仿宋"/>
          <w:b/>
          <w:bCs/>
          <w:sz w:val="32"/>
          <w:szCs w:val="32"/>
        </w:rPr>
        <w:t>（一）</w:t>
      </w:r>
      <w:bookmarkStart w:id="2" w:name="OLE_LINK13"/>
      <w:r>
        <w:rPr>
          <w:rFonts w:hint="eastAsia" w:ascii="仿宋" w:hAnsi="仿宋" w:eastAsia="仿宋" w:cs="仿宋"/>
          <w:b/>
          <w:bCs/>
          <w:sz w:val="32"/>
          <w:szCs w:val="32"/>
        </w:rPr>
        <w:t>施工期污染防治工作。</w:t>
      </w:r>
      <w:r>
        <w:rPr>
          <w:rFonts w:hint="eastAsia" w:ascii="仿宋" w:hAnsi="仿宋" w:eastAsia="仿宋" w:cs="仿宋"/>
          <w:sz w:val="32"/>
          <w:szCs w:val="32"/>
        </w:rPr>
        <w:t>严格施工管理，落实污染防治措施，优化方案、科学施工。项目施工期大气污染主要来源于施工扬尘、机械燃油废气等，通过对施工场地设置围挡、洒水降尘、物料覆盖、车辆清洗、限制车速和规划运输等措施减少施工废气对环境的影响。施工废水经沉淀池处理后回用于场地洒水降尘等，不外排；施工人员生活污水经化粪池处理后，排至湖南石化己内酰胺项目综合废水水处理系统深度处理；施工机械油污及油污固体废物集中收集处理。施工噪声主要来自施工机械设备噪声及材料运输车辆交通噪声等，选用低噪声设备，加强施工管理，合理安排施工时间、运输路线、作业布局，确保施工噪声满足《建筑施工场界环境噪声排放标准》（GB 12523-2011）要求。采用商品混凝土，不在现场设置搅拌场所，禁止焚烧废弃物；使用易产尘物料时做好防尘措施，建筑垃圾与生活垃圾分类收集、集中暂存，定期交由有关部门及时妥善处理</w:t>
      </w:r>
      <w:bookmarkEnd w:id="2"/>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440" w:lineRule="exact"/>
        <w:ind w:firstLine="643" w:firstLineChars="200"/>
        <w:textAlignment w:val="auto"/>
        <w:rPr>
          <w:rFonts w:hint="eastAsia" w:ascii="仿宋" w:hAnsi="仿宋" w:eastAsia="仿宋" w:cs="仿宋"/>
          <w:sz w:val="32"/>
          <w:szCs w:val="32"/>
        </w:rPr>
      </w:pPr>
      <w:bookmarkStart w:id="3" w:name="OLE_LINK15"/>
      <w:r>
        <w:rPr>
          <w:rFonts w:hint="eastAsia" w:ascii="仿宋" w:hAnsi="仿宋" w:eastAsia="仿宋" w:cs="仿宋"/>
          <w:b/>
          <w:bCs/>
          <w:sz w:val="32"/>
          <w:szCs w:val="32"/>
        </w:rPr>
        <w:t>（二）</w:t>
      </w:r>
      <w:bookmarkStart w:id="4" w:name="OLE_LINK14"/>
      <w:r>
        <w:rPr>
          <w:rFonts w:hint="eastAsia" w:ascii="仿宋" w:hAnsi="仿宋" w:eastAsia="仿宋" w:cs="仿宋"/>
          <w:b/>
          <w:bCs/>
          <w:sz w:val="32"/>
          <w:szCs w:val="32"/>
        </w:rPr>
        <w:t>废气污染防治工作。</w:t>
      </w:r>
      <w:r>
        <w:rPr>
          <w:rFonts w:hint="eastAsia" w:ascii="仿宋" w:hAnsi="仿宋" w:eastAsia="仿宋" w:cs="仿宋"/>
          <w:sz w:val="32"/>
          <w:szCs w:val="32"/>
        </w:rPr>
        <w:t>严格控制项目废气污染，规范建设各废气集排气系统和处理设施；加强日常监管，定期对生产设备、管路管线、机泵等设施进行巡检和维护。本项目有组织废气主要包括聚合废气、铸带切粒废气、萃取废气、导热油锅炉烟气及食堂油烟；无组织废气主要有添加剂配置废气、单体回收废气、己内酰胺储罐呼吸废气、装置区无组织排放废气、柴油储罐呼吸废气、化验室废气。</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项目聚合装置废气由塔顶管道收集经“冷凝+水封罐吸收”处理后通过65m高DA001排气筒排放；切粒铸带配套单体抽吸设备，切粒废气、萃取废气由抽吸设备及管道收集经“冷凝+水喷淋塔洗涤吸收”处理后通过65m高DA002排气筒排放；导热油锅炉采用低氮燃烧技术，烟气经65m高DA003排气筒排放；添加剂配置废气、单体回收废气分别经设备配套的水封罐吸收后无组织排放；己内酰胺储罐呼吸废气经氮封+水封罐吸收后无组织排放；化验室废气通过加强化验室室内通风换气无组织排放；食堂油烟经油烟净化器处理后由排烟竖井引至高于屋顶排放。</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项目有组织排放污染物非甲烷总烃排放执行《合成树脂工业污染物排放标准》（GB 31572-2015）中表4大气污染物排放限值；颗粒物排放执行《合成树脂工业污染物排放标准》（GB 31572-2015）中表5大气污染物特别排放限值；锅炉烟气中</w:t>
      </w:r>
      <w:r>
        <w:rPr>
          <w:rFonts w:hint="eastAsia" w:ascii="仿宋" w:hAnsi="仿宋" w:eastAsia="仿宋" w:cs="仿宋"/>
          <w:spacing w:val="-6"/>
          <w:sz w:val="32"/>
          <w:szCs w:val="32"/>
        </w:rPr>
        <w:t>二氧化硫、氮氧化物、颗粒物排放</w:t>
      </w:r>
      <w:r>
        <w:rPr>
          <w:rFonts w:hint="eastAsia" w:ascii="仿宋" w:hAnsi="仿宋" w:eastAsia="仿宋" w:cs="仿宋"/>
          <w:sz w:val="32"/>
          <w:szCs w:val="32"/>
        </w:rPr>
        <w:t>执行《锅炉大气污染物排放标准》（GB 13271-2014）表3特别排放限值（天然气停气燃烧柴油时执行燃油锅炉排放浓度限值）</w:t>
      </w:r>
      <w:r>
        <w:rPr>
          <w:rFonts w:hint="eastAsia" w:ascii="仿宋" w:hAnsi="仿宋" w:eastAsia="仿宋" w:cs="仿宋"/>
          <w:spacing w:val="-6"/>
          <w:sz w:val="32"/>
          <w:szCs w:val="32"/>
        </w:rPr>
        <w:t>；食堂油烟排放执行《饮食油烟排放标准（试行）》（GB 18483-2001）</w:t>
      </w:r>
      <w:r>
        <w:rPr>
          <w:rFonts w:hint="eastAsia" w:ascii="仿宋" w:hAnsi="仿宋" w:eastAsia="仿宋" w:cs="仿宋"/>
          <w:sz w:val="32"/>
          <w:szCs w:val="32"/>
        </w:rPr>
        <w:t>。项目无组织排放</w:t>
      </w:r>
      <w:r>
        <w:rPr>
          <w:rFonts w:hint="eastAsia" w:ascii="仿宋" w:hAnsi="仿宋" w:eastAsia="仿宋" w:cs="仿宋"/>
          <w:spacing w:val="-6"/>
          <w:sz w:val="32"/>
          <w:szCs w:val="32"/>
        </w:rPr>
        <w:t>大气污染物厂界外非甲烷总烃、颗粒物执行《合成树脂工业污染物排放标准》（GB 31572-2015）中表9企业边界大气污染物浓度限值；厂区内挥发性有机物无组织排放执行《挥发性有机物无组织排放控制标准》（GB 37822-2019）附录表A1的特别排放限值。</w:t>
      </w:r>
    </w:p>
    <w:bookmarkEnd w:id="4"/>
    <w:p>
      <w:pPr>
        <w:keepNext w:val="0"/>
        <w:keepLines w:val="0"/>
        <w:pageBreakBefore w:val="0"/>
        <w:widowControl w:val="0"/>
        <w:kinsoku/>
        <w:wordWrap/>
        <w:overflowPunct/>
        <w:topLinePunct w:val="0"/>
        <w:autoSpaceDE/>
        <w:autoSpaceDN/>
        <w:bidi w:val="0"/>
        <w:adjustRightInd/>
        <w:snapToGrid/>
        <w:spacing w:line="44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（三）废水污染防治工作。</w:t>
      </w:r>
      <w:r>
        <w:rPr>
          <w:rFonts w:hint="eastAsia" w:ascii="仿宋" w:hAnsi="仿宋" w:eastAsia="仿宋" w:cs="仿宋"/>
          <w:sz w:val="32"/>
          <w:szCs w:val="32"/>
        </w:rPr>
        <w:t>严格按“雨污分流、清污分流、污污分流、分质处理、达标外排”的原则规范建设厂区雨污管网，按照废水不同类型对生产废水、初期雨水、生活污水等进行处理，确保废水最终达标排放。本项目营运期废水主要有聚合系统冷凝水、切片冷却水排水、萃取水排水、切片干燥冷凝水与氮气冷却喷淋塔排水等生产工序废水及废气喷淋塔排水、水封罐排水、滤芯清洗废水、废气喷淋处理废水、车间地面清洁废水、循环冷却水排污水、生活污水以及初期雨水。</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项目聚合系统冷凝水、切片冷却水排水、萃取水排水、切片干燥冷凝水、氮气冷却喷淋塔排水及废气喷淋塔排水等生产工序废水排入MVR蒸发系统，蒸发的蒸馏水冷凝后全部进入蒸馏水储罐，经冷凝水输送泵送回萃取及切粒工序回用，不外排。原料储罐区水封排水、中间储罐、辅料储罐水封排水、滤芯清洗废水、地面清洗废水、化验室废水及冷却塔排水等收集至相应的污水收集池，再与经化粪池预处理过的生活污水汇流至生产废水监控池；初期雨水经相应的初雨收集池沉淀处理后汇流至雨水监控池；在满足《合成树脂工业污染物排放标准》（GB 31572-2015）中表2间接排放标准和湖南石化己内酰胺项目综合废水处理系统进水水质标准中较严值后，一并泵送至湖南石化己内酰胺项目生产污水主管，排入其综合废水处理系统进行深度处理，达标排放。</w:t>
      </w:r>
    </w:p>
    <w:p>
      <w:pPr>
        <w:keepNext w:val="0"/>
        <w:keepLines w:val="0"/>
        <w:pageBreakBefore w:val="0"/>
        <w:widowControl w:val="0"/>
        <w:kinsoku/>
        <w:wordWrap/>
        <w:overflowPunct/>
        <w:topLinePunct w:val="0"/>
        <w:autoSpaceDE/>
        <w:autoSpaceDN/>
        <w:bidi w:val="0"/>
        <w:adjustRightInd/>
        <w:snapToGrid/>
        <w:spacing w:line="440" w:lineRule="exact"/>
        <w:ind w:firstLine="643" w:firstLineChars="200"/>
        <w:textAlignment w:val="auto"/>
        <w:rPr>
          <w:rFonts w:hint="eastAsia" w:ascii="仿宋" w:hAnsi="仿宋" w:eastAsia="仿宋" w:cs="仿宋"/>
          <w:sz w:val="32"/>
          <w:szCs w:val="32"/>
          <w:highlight w:val="yellow"/>
        </w:rPr>
      </w:pPr>
      <w:r>
        <w:rPr>
          <w:rFonts w:hint="eastAsia" w:ascii="仿宋" w:hAnsi="仿宋" w:eastAsia="仿宋" w:cs="仿宋"/>
          <w:b/>
          <w:bCs/>
          <w:sz w:val="32"/>
          <w:szCs w:val="32"/>
        </w:rPr>
        <w:t>（四）噪声污染防治工作。</w:t>
      </w:r>
      <w:r>
        <w:rPr>
          <w:rFonts w:hint="eastAsia" w:ascii="仿宋" w:hAnsi="仿宋" w:eastAsia="仿宋" w:cs="仿宋"/>
          <w:sz w:val="32"/>
          <w:szCs w:val="32"/>
        </w:rPr>
        <w:t>本项目噪声主要来源于运转设备氮气输送压缩机、干燥氮气风机、冷冻机组、各类流体输送泵等设备。通过采用低噪声设备，利用厂房或车间隔声，合理安排厂区布局，强化生产设备日常维护，对主要噪声源进行隔声、消声、减振等措施，确保厂界噪声达到《工业企业厂界环境噪声排放标准》（GB12348-2008）中的3类标准要求。</w:t>
      </w:r>
    </w:p>
    <w:p>
      <w:pPr>
        <w:keepNext w:val="0"/>
        <w:keepLines w:val="0"/>
        <w:pageBreakBefore w:val="0"/>
        <w:widowControl w:val="0"/>
        <w:kinsoku/>
        <w:wordWrap/>
        <w:overflowPunct/>
        <w:topLinePunct w:val="0"/>
        <w:autoSpaceDE/>
        <w:autoSpaceDN/>
        <w:bidi w:val="0"/>
        <w:adjustRightInd/>
        <w:snapToGrid/>
        <w:spacing w:line="44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（五）固体废物管理工作。</w:t>
      </w:r>
      <w:r>
        <w:rPr>
          <w:rFonts w:hint="eastAsia" w:ascii="仿宋" w:hAnsi="仿宋" w:eastAsia="仿宋" w:cs="仿宋"/>
          <w:sz w:val="32"/>
          <w:szCs w:val="32"/>
        </w:rPr>
        <w:t>根据“无害化、减量化、资源化”原则，做好各类固体废物分类收集、暂存工作，建立健全固体废物产生、收集、储存、转运、处置等相关管理台账，规范建设危险废物暂存间和固体废物暂存间。项目产生的浓缩液过滤废物、废滤芯（滤布）、化验室废物、废矿物油、污水池污泥等危险废物按照《危险废物贮存污染控制标准》（GB18597-2023）和《危险废物收集贮存运输技术规范》（HJ2025-2012）要求合规收集贮存，定期交由有资质单位安全处置并严格执行转移联单制度。熔体过滤废物、不合格产品作为企业工程塑料的生产原料全部回用于生产；废脱氧催化剂交由原料厂家回收；废弃原料包装袋、切粒水过滤废物、萃取水过滤废物及除尘器收集的粉尘等按《一般工业固体废物贮存和填埋污染控制标准》（GB18599-2020）安全贮存，妥善处置。生活垃圾集中收集后定期交由环卫部门统一处理。</w:t>
      </w:r>
    </w:p>
    <w:p>
      <w:pPr>
        <w:keepNext w:val="0"/>
        <w:keepLines w:val="0"/>
        <w:pageBreakBefore w:val="0"/>
        <w:widowControl w:val="0"/>
        <w:kinsoku/>
        <w:wordWrap/>
        <w:overflowPunct/>
        <w:topLinePunct w:val="0"/>
        <w:autoSpaceDE/>
        <w:autoSpaceDN/>
        <w:bidi w:val="0"/>
        <w:adjustRightInd/>
        <w:snapToGrid/>
        <w:spacing w:line="44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（六）地下水及土壤污染防治工作。</w:t>
      </w:r>
      <w:r>
        <w:rPr>
          <w:rFonts w:hint="eastAsia" w:ascii="仿宋" w:hAnsi="仿宋" w:eastAsia="仿宋" w:cs="仿宋"/>
          <w:sz w:val="32"/>
          <w:szCs w:val="32"/>
        </w:rPr>
        <w:t>按照“源头控制、分区防治、污染监控、应急响应”的原则，制定并实施源头控制措施、分区防渗措施、污染监控计划、风险事故应急响应方案等，从污染物的产生、入渗、扩散、应急响应全阶段进行控制，防止项目对地下水及土壤环境造成污染。在工艺、管道、设备、污水储存及处理构筑物采取相应措施，防止和降低污染物跑、冒、滴、漏；工艺装置及管道等尽量“可视化”，做到污染物“早发现、早处理”；提高输送设备密封等级，必要时采用焊接连接。原料罐区设置围堰，围堰容积不低于单个储罐最大储量；危废间墙壁设置墙裙、门口设置围堰；生产车间设置导流槽并与事故池相连，做好聚合车间、储罐区、萃取水罐区、排水管道、污水收集池、事故池、危废暂存间、热媒站、冷冻站、机修车间、公用工程等区域的防渗工作。根据《环境影响评价技术导则 地下水环境》（HJ610-2016）和《地下水环境监测技术规范》（HJ/T164-2004）要求，规范布置监测井，做好定期跟踪监测工作，确保地下水环境安全，一旦发现地下水污染事故，立即启动应急预案并采取应急措施控制污染，并使污染得到治理。设置废水三级防控，设置导流设施拦截事故水，防止污染雨水和轻微事故泄漏造成的环境污染；建立土壤污染隐患排查治理制度，定期进行土壤保护目标跟踪监测、重点区域及重点设施隐患排查，确保土壤环境安全。</w:t>
      </w:r>
    </w:p>
    <w:p>
      <w:pPr>
        <w:keepNext w:val="0"/>
        <w:keepLines w:val="0"/>
        <w:pageBreakBefore w:val="0"/>
        <w:widowControl w:val="0"/>
        <w:kinsoku/>
        <w:wordWrap/>
        <w:overflowPunct/>
        <w:topLinePunct w:val="0"/>
        <w:autoSpaceDE/>
        <w:autoSpaceDN/>
        <w:bidi w:val="0"/>
        <w:adjustRightInd/>
        <w:snapToGrid/>
        <w:spacing w:line="44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（七）</w:t>
      </w:r>
      <w:bookmarkStart w:id="5" w:name="OLE_LINK16"/>
      <w:r>
        <w:rPr>
          <w:rFonts w:hint="eastAsia" w:ascii="仿宋" w:hAnsi="仿宋" w:eastAsia="仿宋" w:cs="仿宋"/>
          <w:b/>
          <w:bCs/>
          <w:sz w:val="32"/>
          <w:szCs w:val="32"/>
        </w:rPr>
        <w:t>环境管理和风险防范工作。</w:t>
      </w:r>
      <w:r>
        <w:rPr>
          <w:rFonts w:hint="eastAsia" w:ascii="仿宋" w:hAnsi="仿宋" w:eastAsia="仿宋" w:cs="仿宋"/>
          <w:sz w:val="32"/>
          <w:szCs w:val="32"/>
        </w:rPr>
        <w:t>设置专门环保机构，配备专职环保管理人员，加强生产设备、污防设施、环保设施的检修、保养及工人、管理人员培训工作，建立健全污染防治设施运行管理台账。加强日常监管，杜绝生产过程中的跑、冒、滴、漏，确保各污染防治、环保设施的正常运行，各类污染物稳定达标排放。做好运营期环境监测工作，严格落实报告书提出的各项环境风险防范措施，按要求配齐各类泄漏检测探测报警仪器和监控、应急设施，规范建设初期雨水收集池、污水收集池、事故应急池和罐区配套设施等。按照《突发环境事件应急管理办法》，结合项目建设内容与</w:t>
      </w:r>
      <w:r>
        <w:rPr>
          <w:rFonts w:hint="eastAsia" w:ascii="仿宋" w:hAnsi="仿宋" w:eastAsia="仿宋" w:cs="仿宋"/>
          <w:kern w:val="0"/>
          <w:sz w:val="32"/>
          <w:szCs w:val="32"/>
        </w:rPr>
        <w:t>园区事故风险应急预案，</w:t>
      </w:r>
      <w:r>
        <w:rPr>
          <w:rFonts w:hint="eastAsia" w:ascii="仿宋" w:hAnsi="仿宋" w:eastAsia="仿宋" w:cs="仿宋"/>
          <w:sz w:val="32"/>
          <w:szCs w:val="32"/>
        </w:rPr>
        <w:t>制订全厂突发环境事件应急预案，储备风险救助物资并定期组织演练，构建区域环境风险联控机制，杜</w:t>
      </w:r>
      <w:bookmarkStart w:id="6" w:name="_GoBack"/>
      <w:bookmarkEnd w:id="6"/>
      <w:r>
        <w:rPr>
          <w:rFonts w:hint="eastAsia" w:ascii="仿宋" w:hAnsi="仿宋" w:eastAsia="仿宋" w:cs="仿宋"/>
          <w:sz w:val="32"/>
          <w:szCs w:val="32"/>
        </w:rPr>
        <w:t>绝环境风险事故发生，确保周边环境安全。</w:t>
      </w:r>
    </w:p>
    <w:bookmarkEnd w:id="0"/>
    <w:bookmarkEnd w:id="5"/>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（八）本项目新增主要污染物总量控制指标为：VOCs≤13.38t/a、SO</w:t>
      </w:r>
      <w:r>
        <w:rPr>
          <w:rFonts w:hint="eastAsia" w:ascii="仿宋" w:hAnsi="仿宋" w:eastAsia="仿宋" w:cs="仿宋"/>
          <w:sz w:val="32"/>
          <w:szCs w:val="32"/>
          <w:vertAlign w:val="subscript"/>
        </w:rPr>
        <w:t>2</w:t>
      </w:r>
      <w:r>
        <w:rPr>
          <w:rFonts w:hint="eastAsia" w:ascii="仿宋" w:hAnsi="仿宋" w:eastAsia="仿宋" w:cs="仿宋"/>
          <w:sz w:val="32"/>
          <w:szCs w:val="32"/>
        </w:rPr>
        <w:t>≤1.57t/a、NOx≤5.65t/a、COD≤12.66t/a、氨氮≤1.27t/a；其中SO2、NOx、COD、氨氮总量指标需通过排污权交易获得。</w:t>
      </w:r>
    </w:p>
    <w:bookmarkEnd w:id="1"/>
    <w:bookmarkEnd w:id="3"/>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三、你公司应于收到本批复后15个工作日内，将批复及批准的环评报告文件送岳阳市生态环境局云溪分局、湖南宏晟环保技术研究院有限公司。</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四、请岳阳市生态环境局云溪分局负责项目建设和运营期的日常环境监管。</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32"/>
          <w:szCs w:val="32"/>
        </w:rPr>
      </w:pPr>
    </w:p>
    <w:p>
      <w:pPr>
        <w:spacing w:line="600" w:lineRule="exact"/>
        <w:rPr>
          <w:rFonts w:hint="eastAsia" w:ascii="仿宋" w:hAnsi="仿宋" w:eastAsia="仿宋" w:cs="仿宋"/>
          <w:sz w:val="32"/>
          <w:szCs w:val="32"/>
        </w:rPr>
      </w:pPr>
    </w:p>
    <w:p>
      <w:pPr>
        <w:spacing w:line="600" w:lineRule="exact"/>
        <w:ind w:firstLine="4480" w:firstLineChars="1400"/>
        <w:rPr>
          <w:rFonts w:hint="eastAsia" w:ascii="仿宋" w:hAnsi="仿宋" w:eastAsia="仿宋" w:cs="仿宋"/>
          <w:sz w:val="32"/>
          <w:szCs w:val="32"/>
        </w:rPr>
      </w:pPr>
      <w:r>
        <w:rPr>
          <w:rFonts w:hint="eastAsia" w:ascii="仿宋" w:hAnsi="仿宋" w:eastAsia="仿宋" w:cs="仿宋"/>
          <w:sz w:val="32"/>
          <w:szCs w:val="32"/>
        </w:rPr>
        <w:t>岳阳市生态环境局</w:t>
      </w:r>
    </w:p>
    <w:p>
      <w:pPr>
        <w:spacing w:line="600" w:lineRule="exact"/>
        <w:ind w:firstLine="4480" w:firstLineChars="1400"/>
        <w:rPr>
          <w:rFonts w:hint="eastAsia" w:ascii="仿宋" w:hAnsi="仿宋" w:eastAsia="仿宋" w:cs="仿宋"/>
          <w:sz w:val="32"/>
          <w:szCs w:val="32"/>
        </w:rPr>
      </w:pPr>
      <w:r>
        <w:rPr>
          <w:rFonts w:hint="eastAsia" w:ascii="仿宋" w:hAnsi="仿宋" w:eastAsia="仿宋" w:cs="仿宋"/>
          <w:sz w:val="32"/>
          <w:szCs w:val="32"/>
        </w:rPr>
        <w:t>2023年12月</w:t>
      </w:r>
      <w:r>
        <w:rPr>
          <w:rFonts w:hint="eastAsia" w:ascii="仿宋" w:hAnsi="仿宋" w:eastAsia="仿宋" w:cs="仿宋"/>
          <w:sz w:val="32"/>
          <w:szCs w:val="32"/>
          <w:lang w:val="en-US" w:eastAsia="zh-CN"/>
        </w:rPr>
        <w:t>14</w:t>
      </w:r>
      <w:r>
        <w:rPr>
          <w:rFonts w:hint="eastAsia" w:ascii="仿宋" w:hAnsi="仿宋" w:eastAsia="仿宋" w:cs="仿宋"/>
          <w:sz w:val="32"/>
          <w:szCs w:val="32"/>
        </w:rPr>
        <w:t>日</w:t>
      </w:r>
    </w:p>
    <w:p>
      <w:pPr>
        <w:rPr>
          <w:rFonts w:hint="eastAsia" w:ascii="仿宋" w:hAnsi="仿宋" w:eastAsia="仿宋" w:cs="仿宋"/>
          <w:color w:val="000000"/>
          <w:sz w:val="32"/>
          <w:szCs w:val="32"/>
          <w:lang w:val="en-US" w:eastAsia="zh-CN"/>
        </w:rPr>
      </w:pPr>
    </w:p>
    <w:p>
      <w:pPr>
        <w:spacing w:line="600" w:lineRule="exact"/>
        <w:ind w:firstLine="4480" w:firstLineChars="1400"/>
        <w:rPr>
          <w:rFonts w:hint="eastAsia" w:ascii="仿宋" w:hAnsi="仿宋" w:eastAsia="仿宋" w:cs="仿宋"/>
          <w:sz w:val="32"/>
          <w:szCs w:val="32"/>
        </w:rPr>
      </w:pPr>
    </w:p>
    <w:sectPr>
      <w:footerReference r:id="rId5" w:type="default"/>
      <w:pgSz w:w="11906" w:h="16838"/>
      <w:pgMar w:top="1440" w:right="1800" w:bottom="1440" w:left="1800" w:header="851" w:footer="992" w:gutter="0"/>
      <w:pgNumType w:fmt="numberInDash" w:start="2"/>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tabs>
        <w:tab w:val="center" w:pos="4213"/>
        <w:tab w:val="left" w:pos="5118"/>
      </w:tabs>
      <w:jc w:val="left"/>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286385" cy="147955"/>
              <wp:effectExtent l="0" t="0" r="0" b="0"/>
              <wp:wrapNone/>
              <wp:docPr id="1" name="文本框 1"/>
              <wp:cNvGraphicFramePr/>
              <a:graphic xmlns:a="http://schemas.openxmlformats.org/drawingml/2006/main">
                <a:graphicData uri="http://schemas.microsoft.com/office/word/2010/wordprocessingShape">
                  <wps:wsp>
                    <wps:cNvSpPr txBox="1"/>
                    <wps:spPr>
                      <a:xfrm>
                        <a:off x="0" y="0"/>
                        <a:ext cx="286385" cy="147955"/>
                      </a:xfrm>
                      <a:prstGeom prst="rect">
                        <a:avLst/>
                      </a:prstGeom>
                      <a:noFill/>
                      <a:ln w="6350">
                        <a:noFill/>
                      </a:ln>
                    </wps:spPr>
                    <wps:txbx>
                      <w:txbxContent>
                        <w:p>
                          <w:pPr>
                            <w:pStyle w:val="2"/>
                            <w:rPr>
                              <w:rFonts w:ascii="仿宋_GB2312" w:hAnsi="仿宋_GB2312" w:eastAsia="仿宋_GB2312" w:cs="仿宋_GB2312"/>
                            </w:rPr>
                          </w:pP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  \* MERGEFORMAT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6</w:t>
                          </w:r>
                          <w:r>
                            <w:rPr>
                              <w:rFonts w:hint="eastAsia" w:ascii="仿宋_GB2312" w:hAnsi="仿宋_GB2312" w:eastAsia="仿宋_GB2312" w:cs="仿宋_GB2312"/>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1.65pt;width:22.55pt;mso-position-horizontal:center;mso-position-horizontal-relative:margin;mso-wrap-style:none;z-index:251660288;mso-width-relative:page;mso-height-relative:page;" filled="f" stroked="f" coordsize="21600,21600" o:gfxdata="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cYEDdIAAAADAQAADwAAAAAAAAABACAAAAAiAAAAZHJzL2Rvd25yZXYueG1sUEsBAhQA&#10;FAAAAAgAh07iQNzXX8UxAgAAUwQAAA4AAAAAAAAAAQAgAAAAIQEAAGRycy9lMm9Eb2MueG1sUEsF&#10;BgAAAAAGAAYAWQEAAMQFAAAAAA==&#10;">
              <v:fill on="f" focussize="0,0"/>
              <v:stroke on="f" weight="0.5pt"/>
              <v:imagedata o:title=""/>
              <o:lock v:ext="edit" aspectratio="f"/>
              <v:textbox inset="0mm,0mm,0mm,0mm" style="mso-fit-shape-to-text:t;">
                <w:txbxContent>
                  <w:p>
                    <w:pPr>
                      <w:pStyle w:val="2"/>
                      <w:rPr>
                        <w:rFonts w:ascii="仿宋_GB2312" w:hAnsi="仿宋_GB2312" w:eastAsia="仿宋_GB2312" w:cs="仿宋_GB2312"/>
                      </w:rPr>
                    </w:pP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  \* MERGEFORMAT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6</w:t>
                    </w:r>
                    <w:r>
                      <w:rPr>
                        <w:rFonts w:hint="eastAsia" w:ascii="仿宋_GB2312" w:hAnsi="仿宋_GB2312" w:eastAsia="仿宋_GB2312" w:cs="仿宋_GB2312"/>
                      </w:rPr>
                      <w:fldChar w:fldCharType="end"/>
                    </w:r>
                  </w:p>
                </w:txbxContent>
              </v:textbox>
            </v:shape>
          </w:pict>
        </mc:Fallback>
      </mc:AlternateContent>
    </w:r>
    <w:r>
      <w:rPr>
        <w:rFonts w:hint="eastAsia"/>
        <w:lang w:eastAsia="zh-CN"/>
      </w:rPr>
      <w:tab/>
      <w:t/>
    </w:r>
    <w:r>
      <w:rPr>
        <w:rFonts w:hint="eastAsia"/>
        <w:lang w:eastAsia="zh-CN"/>
      </w:rPr>
      <w:tab/>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NkMjg1ODhjOWQ3OWY3OTI4MjNmY2I5ODNhZmUzNWYifQ=="/>
  </w:docVars>
  <w:rsids>
    <w:rsidRoot w:val="00E34CCC"/>
    <w:rsid w:val="0000443F"/>
    <w:rsid w:val="00026635"/>
    <w:rsid w:val="00035B3A"/>
    <w:rsid w:val="00035DCC"/>
    <w:rsid w:val="00045DAA"/>
    <w:rsid w:val="00055C23"/>
    <w:rsid w:val="0007027D"/>
    <w:rsid w:val="00084875"/>
    <w:rsid w:val="000C0E53"/>
    <w:rsid w:val="000C2DAD"/>
    <w:rsid w:val="000D4EDE"/>
    <w:rsid w:val="000D7304"/>
    <w:rsid w:val="000E1898"/>
    <w:rsid w:val="000F3F75"/>
    <w:rsid w:val="000F561A"/>
    <w:rsid w:val="0011163F"/>
    <w:rsid w:val="00125269"/>
    <w:rsid w:val="00135E98"/>
    <w:rsid w:val="0014353A"/>
    <w:rsid w:val="00147674"/>
    <w:rsid w:val="00172E16"/>
    <w:rsid w:val="001A53AE"/>
    <w:rsid w:val="001A5FD0"/>
    <w:rsid w:val="001D3AA4"/>
    <w:rsid w:val="00210268"/>
    <w:rsid w:val="00211FBA"/>
    <w:rsid w:val="00233127"/>
    <w:rsid w:val="00234967"/>
    <w:rsid w:val="002354A2"/>
    <w:rsid w:val="00255DAB"/>
    <w:rsid w:val="00255DBE"/>
    <w:rsid w:val="00260124"/>
    <w:rsid w:val="0026084E"/>
    <w:rsid w:val="00261386"/>
    <w:rsid w:val="00266AB8"/>
    <w:rsid w:val="00291B42"/>
    <w:rsid w:val="002A4EA8"/>
    <w:rsid w:val="002C60ED"/>
    <w:rsid w:val="002D2F5B"/>
    <w:rsid w:val="002D3F1D"/>
    <w:rsid w:val="002E09C3"/>
    <w:rsid w:val="002E61F9"/>
    <w:rsid w:val="0030344E"/>
    <w:rsid w:val="00323FFF"/>
    <w:rsid w:val="003332E1"/>
    <w:rsid w:val="003469ED"/>
    <w:rsid w:val="00353BC0"/>
    <w:rsid w:val="00366A3E"/>
    <w:rsid w:val="00372F80"/>
    <w:rsid w:val="00374B95"/>
    <w:rsid w:val="00376361"/>
    <w:rsid w:val="003B48E2"/>
    <w:rsid w:val="003B5D16"/>
    <w:rsid w:val="003C2073"/>
    <w:rsid w:val="003C6BBB"/>
    <w:rsid w:val="003D55FC"/>
    <w:rsid w:val="003E4DAC"/>
    <w:rsid w:val="003F1069"/>
    <w:rsid w:val="003F1F7C"/>
    <w:rsid w:val="00420423"/>
    <w:rsid w:val="00425A73"/>
    <w:rsid w:val="00427B1F"/>
    <w:rsid w:val="00432C9D"/>
    <w:rsid w:val="00446380"/>
    <w:rsid w:val="004754C3"/>
    <w:rsid w:val="004821FC"/>
    <w:rsid w:val="004839E1"/>
    <w:rsid w:val="004A2590"/>
    <w:rsid w:val="004A3A99"/>
    <w:rsid w:val="004C0CFC"/>
    <w:rsid w:val="004C2AA8"/>
    <w:rsid w:val="004C468F"/>
    <w:rsid w:val="004C4FAE"/>
    <w:rsid w:val="004D69E3"/>
    <w:rsid w:val="004F4841"/>
    <w:rsid w:val="004F70B7"/>
    <w:rsid w:val="005D00D5"/>
    <w:rsid w:val="005E6176"/>
    <w:rsid w:val="00623CFF"/>
    <w:rsid w:val="006516E6"/>
    <w:rsid w:val="006612D7"/>
    <w:rsid w:val="00665B52"/>
    <w:rsid w:val="0068243C"/>
    <w:rsid w:val="0068681F"/>
    <w:rsid w:val="00687BCA"/>
    <w:rsid w:val="00690D88"/>
    <w:rsid w:val="006A3EEC"/>
    <w:rsid w:val="006B7147"/>
    <w:rsid w:val="006D3FC0"/>
    <w:rsid w:val="006E018B"/>
    <w:rsid w:val="006E68FC"/>
    <w:rsid w:val="006E793D"/>
    <w:rsid w:val="00731DAB"/>
    <w:rsid w:val="00746F7A"/>
    <w:rsid w:val="007556E4"/>
    <w:rsid w:val="00755AE9"/>
    <w:rsid w:val="0077393C"/>
    <w:rsid w:val="00787A65"/>
    <w:rsid w:val="007E4A3E"/>
    <w:rsid w:val="007F1174"/>
    <w:rsid w:val="007F7334"/>
    <w:rsid w:val="00801CF6"/>
    <w:rsid w:val="008214EE"/>
    <w:rsid w:val="008264B5"/>
    <w:rsid w:val="00832506"/>
    <w:rsid w:val="0083669D"/>
    <w:rsid w:val="008426E5"/>
    <w:rsid w:val="00853974"/>
    <w:rsid w:val="00874C14"/>
    <w:rsid w:val="008811BA"/>
    <w:rsid w:val="00884B61"/>
    <w:rsid w:val="0089037C"/>
    <w:rsid w:val="008A2BF5"/>
    <w:rsid w:val="008E0822"/>
    <w:rsid w:val="008E3EA6"/>
    <w:rsid w:val="00930797"/>
    <w:rsid w:val="00941980"/>
    <w:rsid w:val="00956752"/>
    <w:rsid w:val="0096291D"/>
    <w:rsid w:val="00974150"/>
    <w:rsid w:val="00995EDD"/>
    <w:rsid w:val="009A2827"/>
    <w:rsid w:val="009A32DA"/>
    <w:rsid w:val="009A59FC"/>
    <w:rsid w:val="009C23AD"/>
    <w:rsid w:val="009C3CD6"/>
    <w:rsid w:val="009D3367"/>
    <w:rsid w:val="009D770B"/>
    <w:rsid w:val="00A11687"/>
    <w:rsid w:val="00A13221"/>
    <w:rsid w:val="00A273FA"/>
    <w:rsid w:val="00A46088"/>
    <w:rsid w:val="00A5731D"/>
    <w:rsid w:val="00A57D98"/>
    <w:rsid w:val="00A82FC2"/>
    <w:rsid w:val="00AA4A4F"/>
    <w:rsid w:val="00AB732B"/>
    <w:rsid w:val="00AE14DF"/>
    <w:rsid w:val="00AE3F29"/>
    <w:rsid w:val="00AE518E"/>
    <w:rsid w:val="00B01196"/>
    <w:rsid w:val="00B01F2A"/>
    <w:rsid w:val="00B05AA6"/>
    <w:rsid w:val="00B25157"/>
    <w:rsid w:val="00B37F9A"/>
    <w:rsid w:val="00B40AB2"/>
    <w:rsid w:val="00B4294C"/>
    <w:rsid w:val="00B45428"/>
    <w:rsid w:val="00B53F46"/>
    <w:rsid w:val="00B54A2C"/>
    <w:rsid w:val="00B56374"/>
    <w:rsid w:val="00B61CB3"/>
    <w:rsid w:val="00B65ED0"/>
    <w:rsid w:val="00B661E1"/>
    <w:rsid w:val="00B70E59"/>
    <w:rsid w:val="00B77453"/>
    <w:rsid w:val="00B900D6"/>
    <w:rsid w:val="00BA1F72"/>
    <w:rsid w:val="00BB5307"/>
    <w:rsid w:val="00BB6C49"/>
    <w:rsid w:val="00BC1EB2"/>
    <w:rsid w:val="00BC6232"/>
    <w:rsid w:val="00BE1AC1"/>
    <w:rsid w:val="00BE6FD0"/>
    <w:rsid w:val="00C066C1"/>
    <w:rsid w:val="00C13509"/>
    <w:rsid w:val="00C17950"/>
    <w:rsid w:val="00C262BA"/>
    <w:rsid w:val="00C53B69"/>
    <w:rsid w:val="00C6049D"/>
    <w:rsid w:val="00C83E4D"/>
    <w:rsid w:val="00C84A77"/>
    <w:rsid w:val="00CA6156"/>
    <w:rsid w:val="00CD5373"/>
    <w:rsid w:val="00CF02E4"/>
    <w:rsid w:val="00D0273F"/>
    <w:rsid w:val="00D203C2"/>
    <w:rsid w:val="00D80477"/>
    <w:rsid w:val="00D8119B"/>
    <w:rsid w:val="00D93AEA"/>
    <w:rsid w:val="00D945BB"/>
    <w:rsid w:val="00D96215"/>
    <w:rsid w:val="00DA68AD"/>
    <w:rsid w:val="00DB3C6F"/>
    <w:rsid w:val="00DD4FED"/>
    <w:rsid w:val="00E006C8"/>
    <w:rsid w:val="00E114E1"/>
    <w:rsid w:val="00E1265D"/>
    <w:rsid w:val="00E27661"/>
    <w:rsid w:val="00E2770C"/>
    <w:rsid w:val="00E34CCC"/>
    <w:rsid w:val="00E53EED"/>
    <w:rsid w:val="00E62F27"/>
    <w:rsid w:val="00E85051"/>
    <w:rsid w:val="00E87B24"/>
    <w:rsid w:val="00E87D56"/>
    <w:rsid w:val="00EF7B91"/>
    <w:rsid w:val="00F034DC"/>
    <w:rsid w:val="00F14F6F"/>
    <w:rsid w:val="00F15C33"/>
    <w:rsid w:val="00F173C2"/>
    <w:rsid w:val="00F23FD5"/>
    <w:rsid w:val="00F31A0F"/>
    <w:rsid w:val="00F3773D"/>
    <w:rsid w:val="00F56E4D"/>
    <w:rsid w:val="00F9024C"/>
    <w:rsid w:val="00FA53E9"/>
    <w:rsid w:val="00FB3931"/>
    <w:rsid w:val="00FB6F5F"/>
    <w:rsid w:val="00FD206E"/>
    <w:rsid w:val="00FD303D"/>
    <w:rsid w:val="00FE1817"/>
    <w:rsid w:val="00FF5A10"/>
    <w:rsid w:val="013C690E"/>
    <w:rsid w:val="028D191E"/>
    <w:rsid w:val="02C33678"/>
    <w:rsid w:val="02D47275"/>
    <w:rsid w:val="02E35A2A"/>
    <w:rsid w:val="037C4EA4"/>
    <w:rsid w:val="0613199D"/>
    <w:rsid w:val="0A49229E"/>
    <w:rsid w:val="0CD232D4"/>
    <w:rsid w:val="0EB130ED"/>
    <w:rsid w:val="0FE10DAC"/>
    <w:rsid w:val="10280789"/>
    <w:rsid w:val="13514522"/>
    <w:rsid w:val="13AC452B"/>
    <w:rsid w:val="14A145A6"/>
    <w:rsid w:val="17656492"/>
    <w:rsid w:val="185B4374"/>
    <w:rsid w:val="18A81DAD"/>
    <w:rsid w:val="18CE2A62"/>
    <w:rsid w:val="19102702"/>
    <w:rsid w:val="196842EC"/>
    <w:rsid w:val="1A0758B3"/>
    <w:rsid w:val="1A4E5E84"/>
    <w:rsid w:val="1B46095D"/>
    <w:rsid w:val="1F8D456D"/>
    <w:rsid w:val="24D81481"/>
    <w:rsid w:val="25CE0587"/>
    <w:rsid w:val="2A183A23"/>
    <w:rsid w:val="2B5D3FE0"/>
    <w:rsid w:val="311043AF"/>
    <w:rsid w:val="31176541"/>
    <w:rsid w:val="3487750D"/>
    <w:rsid w:val="38CA4224"/>
    <w:rsid w:val="3A8D5509"/>
    <w:rsid w:val="3CD56E19"/>
    <w:rsid w:val="3D027532"/>
    <w:rsid w:val="40B74329"/>
    <w:rsid w:val="4230334A"/>
    <w:rsid w:val="45140D01"/>
    <w:rsid w:val="462211FB"/>
    <w:rsid w:val="4AC629FC"/>
    <w:rsid w:val="4AE67E15"/>
    <w:rsid w:val="4C5B3372"/>
    <w:rsid w:val="4C615CCD"/>
    <w:rsid w:val="4CBD2A4C"/>
    <w:rsid w:val="4D5546EF"/>
    <w:rsid w:val="4ED53005"/>
    <w:rsid w:val="503C1682"/>
    <w:rsid w:val="51114346"/>
    <w:rsid w:val="52B94C95"/>
    <w:rsid w:val="537A2677"/>
    <w:rsid w:val="53EE6BC1"/>
    <w:rsid w:val="56066443"/>
    <w:rsid w:val="562C39D0"/>
    <w:rsid w:val="58B51D8A"/>
    <w:rsid w:val="5ADA1C4D"/>
    <w:rsid w:val="5B5055A2"/>
    <w:rsid w:val="5B6669F6"/>
    <w:rsid w:val="5C4557EC"/>
    <w:rsid w:val="5D7E2D63"/>
    <w:rsid w:val="5F353888"/>
    <w:rsid w:val="61442516"/>
    <w:rsid w:val="619971BB"/>
    <w:rsid w:val="61CA2A1B"/>
    <w:rsid w:val="642C07CA"/>
    <w:rsid w:val="67FD51CC"/>
    <w:rsid w:val="6846061C"/>
    <w:rsid w:val="68BA3557"/>
    <w:rsid w:val="68DE6DAC"/>
    <w:rsid w:val="6E49116B"/>
    <w:rsid w:val="6E7D7067"/>
    <w:rsid w:val="6EF822A2"/>
    <w:rsid w:val="79E32474"/>
    <w:rsid w:val="7A644718"/>
    <w:rsid w:val="7BEB6E60"/>
    <w:rsid w:val="7C1A344E"/>
    <w:rsid w:val="7C1E08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nhideWhenUsed/>
    <w:qFormat/>
    <w:uiPriority w:val="99"/>
    <w:pPr>
      <w:tabs>
        <w:tab w:val="center" w:pos="4153"/>
        <w:tab w:val="right" w:pos="8306"/>
      </w:tabs>
      <w:snapToGrid w:val="0"/>
    </w:pPr>
    <w:rPr>
      <w:sz w:val="18"/>
      <w:szCs w:val="18"/>
    </w:rPr>
  </w:style>
  <w:style w:type="paragraph" w:styleId="3">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6">
    <w:name w:val="页脚 字符"/>
    <w:basedOn w:val="5"/>
    <w:link w:val="2"/>
    <w:qFormat/>
    <w:uiPriority w:val="99"/>
    <w:rPr>
      <w:rFonts w:ascii="Times New Roman" w:hAnsi="Times New Roman" w:eastAsia="宋体" w:cs="Times New Roman"/>
      <w:sz w:val="18"/>
      <w:szCs w:val="18"/>
      <w14:ligatures w14:val="none"/>
    </w:rPr>
  </w:style>
  <w:style w:type="character" w:customStyle="1" w:styleId="7">
    <w:name w:val="卓龙正文 Char"/>
    <w:link w:val="8"/>
    <w:qFormat/>
    <w:uiPriority w:val="0"/>
    <w:rPr>
      <w:rFonts w:ascii="Times New Roman" w:hAnsi="Times New Roman"/>
      <w:kern w:val="0"/>
      <w:sz w:val="24"/>
    </w:rPr>
  </w:style>
  <w:style w:type="paragraph" w:customStyle="1" w:styleId="8">
    <w:name w:val="卓龙正文"/>
    <w:basedOn w:val="1"/>
    <w:link w:val="7"/>
    <w:qFormat/>
    <w:uiPriority w:val="0"/>
    <w:pPr>
      <w:spacing w:line="360" w:lineRule="auto"/>
      <w:ind w:firstLine="200" w:firstLineChars="200"/>
    </w:pPr>
    <w:rPr>
      <w:kern w:val="0"/>
      <w:sz w:val="24"/>
    </w:rPr>
  </w:style>
  <w:style w:type="character" w:customStyle="1" w:styleId="9">
    <w:name w:val="样式 小四"/>
    <w:qFormat/>
    <w:uiPriority w:val="0"/>
    <w:rPr>
      <w:sz w:val="24"/>
    </w:rPr>
  </w:style>
  <w:style w:type="paragraph" w:customStyle="1" w:styleId="10">
    <w:name w:val="Table Paragraph"/>
    <w:basedOn w:val="1"/>
    <w:qFormat/>
    <w:uiPriority w:val="1"/>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639</Words>
  <Characters>3644</Characters>
  <Lines>30</Lines>
  <Paragraphs>8</Paragraphs>
  <TotalTime>14</TotalTime>
  <ScaleCrop>false</ScaleCrop>
  <LinksUpToDate>false</LinksUpToDate>
  <CharactersWithSpaces>4275</CharactersWithSpaces>
  <Application>WPS Office_11.8.6.11021_F1E327BC-269C-435d-A152-05C5408002CA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2023-12-08T02:51:00Z</dcterms:created>
  <dc:creator>曾政嘉</dc:creator>
  <cp:lastModifiedBy>Administrator</cp:lastModifiedBy>
  <cp:lastPrinted>2023-12-14T02:46:28Z</cp:lastPrinted>
  <dcterms:modified xsi:type="dcterms:W3CDTF">2023-12-14T02:54:33Z</dcterms:modified>
  <cp:revision>220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2052-11.8.6.11021</vt:lpwstr>
  </property>
  <property fmtid="{D5CDD505-2E9C-101B-9397-08002B2CF9AE}" pid="3" name="ICV">
    <vt:lpwstr>E22E8B51EDC14DC4A872D6CB85A3FB31</vt:lpwstr>
  </property>
</Properties>
</file>