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spacing w:line="480" w:lineRule="exact"/>
        <w:textAlignment w:val="top"/>
        <w:rPr>
          <w:rFonts w:eastAsia="黑体"/>
          <w:b/>
          <w:color w:val="F79646"/>
          <w:sz w:val="36"/>
        </w:rPr>
      </w:pPr>
      <w:r>
        <w:rPr>
          <w:rFonts w:hint="eastAsia" w:eastAsia="黑体"/>
          <w:b/>
          <w:color w:val="F79646"/>
          <w:kern w:val="2"/>
          <w:sz w:val="36"/>
        </w:rPr>
        <w:t xml:space="preserve">                                               </w:t>
      </w:r>
    </w:p>
    <w:p>
      <w:pPr>
        <w:pStyle w:val="18"/>
        <w:spacing w:line="480" w:lineRule="exact"/>
        <w:textAlignment w:val="top"/>
        <w:rPr>
          <w:rFonts w:eastAsia="黑体"/>
          <w:b/>
          <w:color w:val="F79646"/>
          <w:sz w:val="36"/>
        </w:rPr>
      </w:pPr>
    </w:p>
    <w:p>
      <w:pPr>
        <w:pStyle w:val="18"/>
        <w:spacing w:line="400" w:lineRule="exact"/>
        <w:ind w:firstLine="5250" w:firstLineChars="1750"/>
        <w:textAlignment w:val="top"/>
        <w:rPr>
          <w:rFonts w:eastAsia="楷体_GB2312"/>
          <w:color w:val="F79646"/>
          <w:sz w:val="30"/>
          <w:szCs w:val="30"/>
        </w:rPr>
      </w:pPr>
    </w:p>
    <w:p>
      <w:pPr>
        <w:pStyle w:val="18"/>
        <w:spacing w:line="320" w:lineRule="exact"/>
        <w:ind w:firstLine="5250" w:firstLineChars="1750"/>
        <w:textAlignment w:val="top"/>
        <w:rPr>
          <w:rFonts w:eastAsia="楷体_GB2312"/>
          <w:color w:val="F79646"/>
          <w:sz w:val="30"/>
          <w:szCs w:val="30"/>
        </w:rPr>
      </w:pPr>
    </w:p>
    <w:p>
      <w:pPr>
        <w:pStyle w:val="18"/>
        <w:spacing w:line="400" w:lineRule="exact"/>
        <w:jc w:val="both"/>
        <w:textAlignment w:val="top"/>
        <w:rPr>
          <w:rFonts w:eastAsia="楷体_GB2312"/>
          <w:color w:val="F79646"/>
          <w:sz w:val="30"/>
          <w:szCs w:val="30"/>
        </w:rPr>
      </w:pPr>
    </w:p>
    <w:p>
      <w:pPr>
        <w:pStyle w:val="18"/>
        <w:spacing w:after="156" w:afterLines="50" w:line="400" w:lineRule="exact"/>
        <w:jc w:val="right"/>
        <w:textAlignment w:val="top"/>
        <w:rPr>
          <w:rFonts w:ascii="仿宋" w:hAnsi="仿宋" w:eastAsia="仿宋"/>
          <w:sz w:val="32"/>
          <w:szCs w:val="32"/>
        </w:rPr>
      </w:pPr>
      <w:r>
        <w:rPr>
          <w:rFonts w:hint="eastAsia" w:eastAsia="楷体_GB2312"/>
          <w:color w:val="F79646"/>
          <w:sz w:val="30"/>
          <w:szCs w:val="30"/>
        </w:rPr>
        <w:t xml:space="preserve">                </w:t>
      </w:r>
      <w:r>
        <w:rPr>
          <w:rFonts w:hint="eastAsia" w:eastAsia="楷体_GB2312"/>
          <w:sz w:val="30"/>
          <w:szCs w:val="30"/>
        </w:rPr>
        <w:t xml:space="preserve">                     </w:t>
      </w:r>
      <w:r>
        <w:rPr>
          <w:rFonts w:hint="eastAsia" w:ascii="仿宋" w:hAnsi="仿宋" w:eastAsia="仿宋"/>
          <w:sz w:val="32"/>
          <w:szCs w:val="32"/>
        </w:rPr>
        <w:t>岳环评</w:t>
      </w:r>
      <w:r>
        <w:rPr>
          <w:rFonts w:hint="eastAsia" w:ascii="仿宋" w:hAnsi="仿宋" w:eastAsia="仿宋" w:cs="仿宋"/>
          <w:sz w:val="32"/>
          <w:szCs w:val="32"/>
        </w:rPr>
        <w:t>〔</w:t>
      </w:r>
      <w:r>
        <w:rPr>
          <w:rFonts w:hint="eastAsia" w:ascii="仿宋" w:hAnsi="仿宋" w:eastAsia="仿宋"/>
          <w:sz w:val="32"/>
          <w:szCs w:val="32"/>
        </w:rPr>
        <w:t>2022</w:t>
      </w:r>
      <w:r>
        <w:rPr>
          <w:rFonts w:hint="eastAsia" w:ascii="仿宋" w:hAnsi="仿宋" w:eastAsia="仿宋" w:cs="仿宋"/>
          <w:sz w:val="32"/>
          <w:szCs w:val="32"/>
        </w:rPr>
        <w:t>〕</w:t>
      </w:r>
      <w:r>
        <w:rPr>
          <w:rFonts w:hint="eastAsia" w:ascii="仿宋" w:hAnsi="仿宋" w:eastAsia="仿宋" w:cs="仿宋"/>
          <w:sz w:val="32"/>
          <w:szCs w:val="32"/>
          <w:lang w:val="en-US" w:eastAsia="zh-CN"/>
        </w:rPr>
        <w:t>59</w:t>
      </w:r>
      <w:r>
        <w:rPr>
          <w:rFonts w:hint="eastAsia" w:ascii="仿宋" w:hAnsi="仿宋" w:eastAsia="仿宋"/>
          <w:sz w:val="32"/>
          <w:szCs w:val="32"/>
        </w:rPr>
        <w:t>号</w:t>
      </w:r>
    </w:p>
    <w:p>
      <w:pPr>
        <w:widowControl/>
        <w:spacing w:line="495" w:lineRule="atLeast"/>
        <w:ind w:firstLine="0" w:firstLineChars="0"/>
        <w:jc w:val="center"/>
        <w:rPr>
          <w:rFonts w:ascii="宋体" w:hAnsi="宋体" w:eastAsia="宋体"/>
          <w:b/>
          <w:sz w:val="28"/>
          <w:szCs w:val="28"/>
          <w:lang w:bidi="ar"/>
        </w:rPr>
      </w:pPr>
      <w:r>
        <w:rPr>
          <w:rFonts w:hint="eastAsia" w:ascii="黑体" w:hAnsi="黑体" w:eastAsia="黑体" w:cs="黑体"/>
          <w:b/>
          <w:sz w:val="36"/>
          <w:szCs w:val="36"/>
        </w:rPr>
        <w:t>关于中国石油化工股份有限公司长岭分公司污水处理提标改造项目环境影响报告书的批复</w:t>
      </w:r>
    </w:p>
    <w:p>
      <w:pPr>
        <w:autoSpaceDE w:val="0"/>
        <w:autoSpaceDN w:val="0"/>
        <w:adjustRightInd w:val="0"/>
        <w:ind w:left="177" w:hanging="177" w:firstLineChars="0"/>
        <w:jc w:val="center"/>
        <w:rPr>
          <w:rFonts w:ascii="黑体" w:hAnsi="黑体" w:eastAsia="黑体" w:cs="黑体"/>
          <w:b/>
          <w:color w:val="F79646"/>
          <w:sz w:val="36"/>
          <w:szCs w:val="36"/>
        </w:rPr>
      </w:pPr>
    </w:p>
    <w:p>
      <w:pPr>
        <w:pStyle w:val="7"/>
        <w:keepNext w:val="0"/>
        <w:keepLines w:val="0"/>
        <w:pageBreakBefore w:val="0"/>
        <w:widowControl w:val="0"/>
        <w:kinsoku/>
        <w:wordWrap/>
        <w:overflowPunct/>
        <w:topLinePunct w:val="0"/>
        <w:autoSpaceDE w:val="0"/>
        <w:autoSpaceDN w:val="0"/>
        <w:bidi w:val="0"/>
        <w:adjustRightInd w:val="0"/>
        <w:spacing w:before="0" w:beforeAutospacing="0" w:after="0" w:afterAutospacing="0" w:line="492" w:lineRule="exact"/>
        <w:ind w:firstLine="0" w:firstLineChars="0"/>
        <w:jc w:val="both"/>
        <w:textAlignment w:val="auto"/>
        <w:rPr>
          <w:rFonts w:ascii="仿宋" w:hAnsi="仿宋" w:eastAsia="仿宋" w:cs="仿宋"/>
          <w:kern w:val="2"/>
          <w:sz w:val="32"/>
          <w:szCs w:val="32"/>
          <w:lang w:bidi="ar"/>
        </w:rPr>
      </w:pPr>
      <w:r>
        <w:rPr>
          <w:rFonts w:hint="eastAsia" w:ascii="仿宋" w:hAnsi="仿宋" w:eastAsia="仿宋" w:cs="仿宋"/>
          <w:kern w:val="2"/>
          <w:sz w:val="32"/>
          <w:szCs w:val="32"/>
          <w:lang w:bidi="ar"/>
        </w:rPr>
        <w:t>中国石油化工股份有限公司长岭分公司：</w:t>
      </w:r>
    </w:p>
    <w:p>
      <w:pPr>
        <w:keepNext w:val="0"/>
        <w:keepLines w:val="0"/>
        <w:pageBreakBefore w:val="0"/>
        <w:widowControl w:val="0"/>
        <w:kinsoku/>
        <w:wordWrap/>
        <w:overflowPunct/>
        <w:topLinePunct w:val="0"/>
        <w:bidi w:val="0"/>
        <w:spacing w:line="492" w:lineRule="exact"/>
        <w:ind w:firstLine="640"/>
        <w:jc w:val="both"/>
        <w:textAlignment w:val="auto"/>
        <w:rPr>
          <w:rFonts w:ascii="仿宋" w:hAnsi="仿宋" w:eastAsia="仿宋" w:cs="仿宋"/>
          <w:kern w:val="2"/>
          <w:sz w:val="32"/>
          <w:szCs w:val="32"/>
          <w:lang w:bidi="ar"/>
        </w:rPr>
      </w:pPr>
      <w:r>
        <w:rPr>
          <w:rFonts w:hint="eastAsia" w:ascii="仿宋" w:hAnsi="仿宋" w:eastAsia="仿宋" w:cs="仿宋"/>
          <w:kern w:val="2"/>
          <w:sz w:val="32"/>
          <w:szCs w:val="32"/>
          <w:lang w:bidi="ar"/>
        </w:rPr>
        <w:t>你公司《关于申请&lt;中国石油化工股份有限公司长岭分公司污水处理提标改造项目环境影响报告书&gt;环评批复的函》、岳阳市生态环境事务中心《中国石油化工股份有限公司长岭分公司污水处理提标改造项目环境影响报告书技术评估报告》（岳环事评估〔2022〕34号）、岳阳市生态环境局云溪分局的预审意见及有关附件收悉。经研究，批复如下：</w:t>
      </w:r>
    </w:p>
    <w:p>
      <w:pPr>
        <w:keepNext w:val="0"/>
        <w:keepLines w:val="0"/>
        <w:pageBreakBefore w:val="0"/>
        <w:widowControl w:val="0"/>
        <w:kinsoku/>
        <w:wordWrap/>
        <w:overflowPunct/>
        <w:topLinePunct w:val="0"/>
        <w:bidi w:val="0"/>
        <w:adjustRightInd w:val="0"/>
        <w:snapToGrid w:val="0"/>
        <w:spacing w:line="492" w:lineRule="exact"/>
        <w:ind w:firstLine="640"/>
        <w:jc w:val="both"/>
        <w:textAlignment w:val="auto"/>
        <w:rPr>
          <w:rFonts w:ascii="仿宋" w:hAnsi="仿宋" w:eastAsia="仿宋" w:cs="仿宋"/>
          <w:kern w:val="2"/>
          <w:sz w:val="32"/>
          <w:szCs w:val="32"/>
          <w:lang w:bidi="ar"/>
        </w:rPr>
      </w:pPr>
      <w:r>
        <w:rPr>
          <w:rFonts w:hint="eastAsia" w:ascii="仿宋" w:hAnsi="仿宋" w:eastAsia="仿宋" w:cs="仿宋"/>
          <w:kern w:val="2"/>
          <w:sz w:val="32"/>
          <w:szCs w:val="32"/>
          <w:lang w:bidi="ar"/>
        </w:rPr>
        <w:t>一、为贯彻落实长江“共抓大保护”方针，减少进入长江的废水量和污染物量，你公司拟投资14400万元在长岭公公司第一污水处理场和第二污水处理场内实施长岭分公司污水处理提标改造项目。项目含油污水处理工艺</w:t>
      </w:r>
      <w:r>
        <w:rPr>
          <w:rFonts w:hint="eastAsia" w:ascii="仿宋" w:hAnsi="仿宋" w:eastAsia="仿宋" w:cs="仿宋"/>
          <w:sz w:val="32"/>
          <w:szCs w:val="32"/>
        </w:rPr>
        <w:t>采</w:t>
      </w:r>
      <w:r>
        <w:rPr>
          <w:rFonts w:hint="eastAsia" w:ascii="仿宋" w:hAnsi="仿宋" w:eastAsia="仿宋" w:cs="仿宋"/>
          <w:kern w:val="2"/>
          <w:sz w:val="32"/>
          <w:szCs w:val="32"/>
          <w:lang w:bidi="ar"/>
        </w:rPr>
        <w:t>用隔油+二级气浮+生物强化接触氧化+中间沉淀池+水解酸化+氧化沟+二沉池+砂滤+BAF等工艺，污水处理能力保持不变为600m</w:t>
      </w:r>
      <w:r>
        <w:rPr>
          <w:rFonts w:hint="eastAsia" w:ascii="仿宋" w:hAnsi="仿宋" w:eastAsia="仿宋" w:cs="仿宋"/>
          <w:kern w:val="2"/>
          <w:sz w:val="32"/>
          <w:szCs w:val="32"/>
          <w:vertAlign w:val="superscript"/>
          <w:lang w:bidi="ar"/>
        </w:rPr>
        <w:t>3</w:t>
      </w:r>
      <w:r>
        <w:rPr>
          <w:rFonts w:hint="eastAsia" w:ascii="仿宋" w:hAnsi="仿宋" w:eastAsia="仿宋" w:cs="仿宋"/>
          <w:kern w:val="2"/>
          <w:sz w:val="32"/>
          <w:szCs w:val="32"/>
          <w:lang w:bidi="ar"/>
        </w:rPr>
        <w:t>/h，公司含油污水处理后全部回用不外排；含盐污水处理能力由250m</w:t>
      </w:r>
      <w:r>
        <w:rPr>
          <w:rFonts w:hint="eastAsia" w:ascii="仿宋" w:hAnsi="仿宋" w:eastAsia="仿宋" w:cs="仿宋"/>
          <w:kern w:val="2"/>
          <w:sz w:val="32"/>
          <w:szCs w:val="32"/>
          <w:vertAlign w:val="superscript"/>
          <w:lang w:bidi="ar"/>
        </w:rPr>
        <w:t>3</w:t>
      </w:r>
      <w:r>
        <w:rPr>
          <w:rFonts w:hint="eastAsia" w:ascii="仿宋" w:hAnsi="仿宋" w:eastAsia="仿宋" w:cs="仿宋"/>
          <w:kern w:val="2"/>
          <w:sz w:val="32"/>
          <w:szCs w:val="32"/>
          <w:lang w:bidi="ar"/>
        </w:rPr>
        <w:t>/h增加至300m</w:t>
      </w:r>
      <w:r>
        <w:rPr>
          <w:rFonts w:hint="eastAsia" w:ascii="仿宋" w:hAnsi="仿宋" w:eastAsia="仿宋" w:cs="仿宋"/>
          <w:kern w:val="2"/>
          <w:sz w:val="32"/>
          <w:szCs w:val="32"/>
          <w:vertAlign w:val="superscript"/>
          <w:lang w:bidi="ar"/>
        </w:rPr>
        <w:t>3</w:t>
      </w:r>
      <w:r>
        <w:rPr>
          <w:rFonts w:hint="eastAsia" w:ascii="仿宋" w:hAnsi="仿宋" w:eastAsia="仿宋" w:cs="仿宋"/>
          <w:kern w:val="2"/>
          <w:sz w:val="32"/>
          <w:szCs w:val="32"/>
          <w:lang w:bidi="ar"/>
        </w:rPr>
        <w:t>/h，处理工艺为隔油+两级气浮+低氧曝气池+MBBR+沉淀池+高密度沉淀池+臭氧催化氧化+A/O生物膜脱氮池+ABR池+高密度沉淀池等工艺。处理达标后的尾水通过现有管道和排污口排入长江。在长岭片区污水处理厂建设完成前</w:t>
      </w:r>
      <w:r>
        <w:rPr>
          <w:rFonts w:hint="eastAsia" w:ascii="仿宋" w:hAnsi="仿宋" w:eastAsia="仿宋" w:cs="仿宋"/>
          <w:sz w:val="32"/>
          <w:szCs w:val="32"/>
        </w:rPr>
        <w:t>，</w:t>
      </w:r>
      <w:r>
        <w:rPr>
          <w:rFonts w:hint="eastAsia" w:ascii="仿宋" w:hAnsi="仿宋" w:eastAsia="仿宋" w:cs="仿宋"/>
          <w:kern w:val="2"/>
          <w:sz w:val="32"/>
          <w:szCs w:val="32"/>
          <w:lang w:bidi="ar"/>
        </w:rPr>
        <w:t>项目除接纳处理</w:t>
      </w:r>
      <w:r>
        <w:rPr>
          <w:rFonts w:hint="eastAsia" w:ascii="仿宋" w:hAnsi="仿宋" w:eastAsia="仿宋" w:cs="仿宋"/>
          <w:sz w:val="32"/>
          <w:szCs w:val="32"/>
        </w:rPr>
        <w:t>长岭分公司自身的污水外，同时接纳处理湖南岳阳绿色化工高新技术产业开发区长岭片区企业废水</w:t>
      </w:r>
      <w:r>
        <w:rPr>
          <w:rFonts w:hint="eastAsia" w:ascii="仿宋" w:hAnsi="仿宋" w:eastAsia="仿宋" w:cs="仿宋"/>
          <w:kern w:val="2"/>
          <w:sz w:val="32"/>
          <w:szCs w:val="32"/>
          <w:lang w:bidi="ar"/>
        </w:rPr>
        <w:t>。长岭片区污水处理厂建成运营后，长岭片区中长岭分公司范围外的其他企业工业污水将不再进入本项目处理。项目不新征用地，不涉及场外管线，不增加定员，主要建设内容为：①一污改造工程：含油系列：拆除现有涡凹气浮池，替换为高效溶气气浮（新增2套300m</w:t>
      </w:r>
      <w:r>
        <w:rPr>
          <w:rFonts w:hint="eastAsia" w:ascii="仿宋" w:hAnsi="仿宋" w:eastAsia="仿宋" w:cs="仿宋"/>
          <w:kern w:val="2"/>
          <w:sz w:val="32"/>
          <w:szCs w:val="32"/>
          <w:vertAlign w:val="superscript"/>
          <w:lang w:bidi="ar"/>
        </w:rPr>
        <w:t>3</w:t>
      </w:r>
      <w:r>
        <w:rPr>
          <w:rFonts w:hint="eastAsia" w:ascii="仿宋" w:hAnsi="仿宋" w:eastAsia="仿宋" w:cs="仿宋"/>
          <w:kern w:val="2"/>
          <w:sz w:val="32"/>
          <w:szCs w:val="32"/>
          <w:lang w:bidi="ar"/>
        </w:rPr>
        <w:t>/h溶气气浮装置），保留现有含油多相溶气气浮。含盐系列：拆除现有含盐系列两级气浮装置，含盐一级、二级气浮更新为高效溶气气浮（新增2套处理规模300m</w:t>
      </w:r>
      <w:r>
        <w:rPr>
          <w:rFonts w:hint="eastAsia" w:ascii="仿宋" w:hAnsi="仿宋" w:eastAsia="仿宋" w:cs="仿宋"/>
          <w:kern w:val="2"/>
          <w:sz w:val="32"/>
          <w:szCs w:val="32"/>
          <w:vertAlign w:val="superscript"/>
          <w:lang w:bidi="ar"/>
        </w:rPr>
        <w:t>3</w:t>
      </w:r>
      <w:r>
        <w:rPr>
          <w:rFonts w:hint="eastAsia" w:ascii="仿宋" w:hAnsi="仿宋" w:eastAsia="仿宋" w:cs="仿宋"/>
          <w:kern w:val="2"/>
          <w:sz w:val="32"/>
          <w:szCs w:val="32"/>
          <w:lang w:bidi="ar"/>
        </w:rPr>
        <w:t>/h的溶气气浮装置）；②二污改造工程：含油系列：新增微生物强化生化装置和脱总氮碳源投加设施；含盐系列：将现有一体化生物池（短程硝化池）改造为低氧曝气池（EBIS池），将现有EM-BAF池改造为A/O生物膜脱氮池，新增300m</w:t>
      </w:r>
      <w:r>
        <w:rPr>
          <w:rFonts w:hint="eastAsia" w:ascii="仿宋" w:hAnsi="仿宋" w:eastAsia="仿宋" w:cs="仿宋"/>
          <w:kern w:val="2"/>
          <w:sz w:val="32"/>
          <w:szCs w:val="32"/>
          <w:vertAlign w:val="superscript"/>
          <w:lang w:bidi="ar"/>
        </w:rPr>
        <w:t>3</w:t>
      </w:r>
      <w:r>
        <w:rPr>
          <w:rFonts w:hint="eastAsia" w:ascii="仿宋" w:hAnsi="仿宋" w:eastAsia="仿宋" w:cs="仿宋"/>
          <w:kern w:val="2"/>
          <w:sz w:val="32"/>
          <w:szCs w:val="32"/>
          <w:lang w:bidi="ar"/>
        </w:rPr>
        <w:t>/h的ABR反应器和高密度沉淀池</w:t>
      </w:r>
      <w:r>
        <w:rPr>
          <w:rFonts w:hint="eastAsia" w:ascii="仿宋" w:hAnsi="仿宋" w:eastAsia="仿宋" w:cs="仿宋"/>
          <w:kern w:val="2"/>
          <w:sz w:val="32"/>
          <w:szCs w:val="32"/>
          <w:lang w:eastAsia="zh-CN" w:bidi="ar"/>
        </w:rPr>
        <w:t>。</w:t>
      </w:r>
      <w:r>
        <w:rPr>
          <w:rFonts w:hint="eastAsia" w:ascii="仿宋" w:hAnsi="仿宋" w:eastAsia="仿宋" w:cs="仿宋"/>
          <w:kern w:val="2"/>
          <w:sz w:val="32"/>
          <w:szCs w:val="32"/>
          <w:lang w:bidi="ar"/>
        </w:rPr>
        <w:t>项目其他工程均依托现有。</w:t>
      </w:r>
      <w:r>
        <w:rPr>
          <w:rFonts w:hint="eastAsia" w:ascii="仿宋" w:hAnsi="仿宋" w:eastAsia="仿宋" w:cs="仿宋"/>
          <w:sz w:val="32"/>
          <w:szCs w:val="32"/>
        </w:rPr>
        <w:t>项目预计2023年8月建成。总外排废水量从原入河排污口设置登记表中的500m</w:t>
      </w:r>
      <w:r>
        <w:rPr>
          <w:rFonts w:hint="eastAsia" w:ascii="仿宋" w:hAnsi="仿宋" w:eastAsia="仿宋" w:cs="仿宋"/>
          <w:sz w:val="32"/>
          <w:szCs w:val="32"/>
          <w:vertAlign w:val="superscript"/>
        </w:rPr>
        <w:t>3</w:t>
      </w:r>
      <w:r>
        <w:rPr>
          <w:rFonts w:hint="eastAsia" w:ascii="仿宋" w:hAnsi="仿宋" w:eastAsia="仿宋" w:cs="仿宋"/>
          <w:sz w:val="32"/>
          <w:szCs w:val="32"/>
        </w:rPr>
        <w:t>/h降为最大400m</w:t>
      </w:r>
      <w:r>
        <w:rPr>
          <w:rFonts w:hint="eastAsia" w:ascii="仿宋" w:hAnsi="仿宋" w:eastAsia="仿宋" w:cs="仿宋"/>
          <w:sz w:val="32"/>
          <w:szCs w:val="32"/>
          <w:vertAlign w:val="superscript"/>
        </w:rPr>
        <w:t>3</w:t>
      </w:r>
      <w:r>
        <w:rPr>
          <w:rFonts w:hint="eastAsia" w:ascii="仿宋" w:hAnsi="仿宋" w:eastAsia="仿宋" w:cs="仿宋"/>
          <w:sz w:val="32"/>
          <w:szCs w:val="32"/>
        </w:rPr>
        <w:t>/h。</w:t>
      </w:r>
      <w:r>
        <w:rPr>
          <w:rFonts w:hint="eastAsia" w:ascii="仿宋" w:hAnsi="仿宋" w:eastAsia="仿宋" w:cs="仿宋"/>
          <w:kern w:val="2"/>
          <w:sz w:val="32"/>
          <w:szCs w:val="32"/>
          <w:lang w:bidi="ar"/>
        </w:rPr>
        <w:t>长岭片区污水处理厂建设完成前，项目总废水排放量为400m</w:t>
      </w:r>
      <w:r>
        <w:rPr>
          <w:rFonts w:hint="eastAsia" w:ascii="仿宋" w:hAnsi="仿宋" w:eastAsia="仿宋" w:cs="仿宋"/>
          <w:kern w:val="2"/>
          <w:sz w:val="32"/>
          <w:szCs w:val="32"/>
          <w:vertAlign w:val="superscript"/>
          <w:lang w:bidi="ar"/>
        </w:rPr>
        <w:t>3</w:t>
      </w:r>
      <w:r>
        <w:rPr>
          <w:rFonts w:hint="eastAsia" w:ascii="仿宋" w:hAnsi="仿宋" w:eastAsia="仿宋" w:cs="仿宋"/>
          <w:kern w:val="2"/>
          <w:sz w:val="32"/>
          <w:szCs w:val="32"/>
          <w:lang w:bidi="ar"/>
        </w:rPr>
        <w:t>/h（其中含盐污水300m</w:t>
      </w:r>
      <w:r>
        <w:rPr>
          <w:rFonts w:hint="eastAsia" w:ascii="仿宋" w:hAnsi="仿宋" w:eastAsia="仿宋" w:cs="仿宋"/>
          <w:kern w:val="2"/>
          <w:sz w:val="32"/>
          <w:szCs w:val="32"/>
          <w:vertAlign w:val="superscript"/>
          <w:lang w:bidi="ar"/>
        </w:rPr>
        <w:t>3</w:t>
      </w:r>
      <w:r>
        <w:rPr>
          <w:rFonts w:hint="eastAsia" w:ascii="仿宋" w:hAnsi="仿宋" w:eastAsia="仿宋" w:cs="仿宋"/>
          <w:kern w:val="2"/>
          <w:sz w:val="32"/>
          <w:szCs w:val="32"/>
          <w:lang w:bidi="ar"/>
        </w:rPr>
        <w:t>/h，长岭片区企业含油污水100m</w:t>
      </w:r>
      <w:r>
        <w:rPr>
          <w:rFonts w:hint="eastAsia" w:ascii="仿宋" w:hAnsi="仿宋" w:eastAsia="仿宋" w:cs="仿宋"/>
          <w:kern w:val="2"/>
          <w:sz w:val="32"/>
          <w:szCs w:val="32"/>
          <w:vertAlign w:val="superscript"/>
          <w:lang w:bidi="ar"/>
        </w:rPr>
        <w:t>3</w:t>
      </w:r>
      <w:r>
        <w:rPr>
          <w:rFonts w:hint="eastAsia" w:ascii="仿宋" w:hAnsi="仿宋" w:eastAsia="仿宋" w:cs="仿宋"/>
          <w:kern w:val="2"/>
          <w:sz w:val="32"/>
          <w:szCs w:val="32"/>
          <w:lang w:bidi="ar"/>
        </w:rPr>
        <w:t>/h）；长岭片区污水处理厂建成运营后，项目污水排放量为305.57m</w:t>
      </w:r>
      <w:r>
        <w:rPr>
          <w:rFonts w:hint="eastAsia" w:ascii="仿宋" w:hAnsi="仿宋" w:eastAsia="仿宋" w:cs="仿宋"/>
          <w:kern w:val="2"/>
          <w:sz w:val="32"/>
          <w:szCs w:val="32"/>
          <w:vertAlign w:val="superscript"/>
          <w:lang w:bidi="ar"/>
        </w:rPr>
        <w:t>3</w:t>
      </w:r>
      <w:r>
        <w:rPr>
          <w:rFonts w:hint="eastAsia" w:ascii="仿宋" w:hAnsi="仿宋" w:eastAsia="仿宋" w:cs="仿宋"/>
          <w:kern w:val="2"/>
          <w:sz w:val="32"/>
          <w:szCs w:val="32"/>
          <w:lang w:bidi="ar"/>
        </w:rPr>
        <w:t>/h（其中含盐污水300m</w:t>
      </w:r>
      <w:r>
        <w:rPr>
          <w:rFonts w:hint="eastAsia" w:ascii="仿宋" w:hAnsi="仿宋" w:eastAsia="仿宋" w:cs="仿宋"/>
          <w:kern w:val="2"/>
          <w:sz w:val="32"/>
          <w:szCs w:val="32"/>
          <w:vertAlign w:val="superscript"/>
          <w:lang w:bidi="ar"/>
        </w:rPr>
        <w:t>3</w:t>
      </w:r>
      <w:r>
        <w:rPr>
          <w:rFonts w:hint="eastAsia" w:ascii="仿宋" w:hAnsi="仿宋" w:eastAsia="仿宋" w:cs="仿宋"/>
          <w:kern w:val="2"/>
          <w:sz w:val="32"/>
          <w:szCs w:val="32"/>
          <w:lang w:bidi="ar"/>
        </w:rPr>
        <w:t>/h，100万吨年连续重整联合装置含油污水5.57m</w:t>
      </w:r>
      <w:r>
        <w:rPr>
          <w:rFonts w:hint="eastAsia" w:ascii="仿宋" w:hAnsi="仿宋" w:eastAsia="仿宋" w:cs="仿宋"/>
          <w:kern w:val="2"/>
          <w:sz w:val="32"/>
          <w:szCs w:val="32"/>
          <w:vertAlign w:val="superscript"/>
          <w:lang w:bidi="ar"/>
        </w:rPr>
        <w:t>3</w:t>
      </w:r>
      <w:r>
        <w:rPr>
          <w:rFonts w:hint="eastAsia" w:ascii="仿宋" w:hAnsi="仿宋" w:eastAsia="仿宋" w:cs="仿宋"/>
          <w:kern w:val="2"/>
          <w:sz w:val="32"/>
          <w:szCs w:val="32"/>
          <w:lang w:bidi="ar"/>
        </w:rPr>
        <w:t>/h）。项目已于2020年11月取得岳阳市发改委核准，2021年4月取得中石化总部批复。2022年7月项目所涉排污口改扩建已取得生态环境部长江流域生态环境监督管理局批复。根据湖南中汇环境科技有限公司编制的《中国石油化工股份有限公司长岭分公司污水处理提标改造项目环境影响报告书》（报批稿）基本内容、结论、专家评审意见和岳阳市生态环境事务中心《中国石油化工股份有限公司长岭分公司污水处理提标改造项目环境影响报告书技术评估报告》以及岳阳市生态环境局云溪分局预审意见，从环境保护角度考虑，我局原则同意你公司环境影响报告书中所列建设项目的环境影响评价结论和环境保护对策措施。</w:t>
      </w:r>
    </w:p>
    <w:p>
      <w:pPr>
        <w:keepNext w:val="0"/>
        <w:keepLines w:val="0"/>
        <w:pageBreakBefore w:val="0"/>
        <w:widowControl w:val="0"/>
        <w:kinsoku/>
        <w:wordWrap/>
        <w:overflowPunct/>
        <w:topLinePunct w:val="0"/>
        <w:bidi w:val="0"/>
        <w:spacing w:line="492" w:lineRule="exact"/>
        <w:ind w:firstLine="640"/>
        <w:jc w:val="both"/>
        <w:textAlignment w:val="auto"/>
        <w:rPr>
          <w:rFonts w:ascii="仿宋" w:hAnsi="仿宋" w:eastAsia="仿宋" w:cs="仿宋"/>
          <w:kern w:val="2"/>
          <w:sz w:val="32"/>
          <w:szCs w:val="32"/>
          <w:lang w:bidi="ar"/>
        </w:rPr>
      </w:pPr>
      <w:r>
        <w:rPr>
          <w:rFonts w:hint="eastAsia" w:ascii="仿宋" w:hAnsi="仿宋" w:eastAsia="仿宋" w:cs="仿宋"/>
          <w:kern w:val="2"/>
          <w:sz w:val="32"/>
          <w:szCs w:val="32"/>
          <w:lang w:bidi="ar"/>
        </w:rPr>
        <w:t>二、项目建设和运营必须全面落实环境影响报告书提出的各项环保措施，并着重做好以下工作：</w:t>
      </w:r>
    </w:p>
    <w:p>
      <w:pPr>
        <w:keepNext w:val="0"/>
        <w:keepLines w:val="0"/>
        <w:pageBreakBefore w:val="0"/>
        <w:widowControl w:val="0"/>
        <w:kinsoku/>
        <w:wordWrap/>
        <w:overflowPunct/>
        <w:topLinePunct w:val="0"/>
        <w:autoSpaceDE w:val="0"/>
        <w:bidi w:val="0"/>
        <w:spacing w:line="492" w:lineRule="exact"/>
        <w:ind w:firstLine="640"/>
        <w:jc w:val="both"/>
        <w:textAlignment w:val="auto"/>
        <w:rPr>
          <w:rFonts w:ascii="仿宋" w:hAnsi="仿宋" w:eastAsia="仿宋" w:cs="仿宋"/>
          <w:kern w:val="2"/>
          <w:sz w:val="32"/>
          <w:szCs w:val="32"/>
          <w:lang w:bidi="ar"/>
        </w:rPr>
      </w:pPr>
      <w:bookmarkStart w:id="0" w:name="OLE_LINK8"/>
      <w:bookmarkEnd w:id="0"/>
      <w:bookmarkStart w:id="1" w:name="OLE_LINK3"/>
      <w:r>
        <w:rPr>
          <w:rFonts w:hint="eastAsia" w:ascii="仿宋" w:hAnsi="仿宋" w:eastAsia="仿宋" w:cs="仿宋"/>
          <w:kern w:val="2"/>
          <w:sz w:val="32"/>
          <w:szCs w:val="32"/>
          <w:lang w:bidi="ar"/>
        </w:rPr>
        <w:t>（一）</w:t>
      </w:r>
      <w:bookmarkEnd w:id="1"/>
      <w:r>
        <w:rPr>
          <w:rFonts w:hint="eastAsia" w:ascii="仿宋" w:hAnsi="仿宋" w:eastAsia="仿宋" w:cs="仿宋"/>
          <w:kern w:val="2"/>
          <w:sz w:val="32"/>
          <w:szCs w:val="32"/>
          <w:lang w:bidi="ar"/>
        </w:rPr>
        <w:t>严格落实以新带老措施，确保解决第一污水处理场和第二污水处理场现有环境问题。严格按照生态环境部长江流域生态环境监督管理局文件《关于岳阳绿色化工高新技术产业开发区长岭片区入河排污口设置的批复》（环长江审〔2022〕5号）的要求，认真落实相关排污口建设等纳污排污工作。</w:t>
      </w:r>
    </w:p>
    <w:p>
      <w:pPr>
        <w:keepNext w:val="0"/>
        <w:keepLines w:val="0"/>
        <w:pageBreakBefore w:val="0"/>
        <w:widowControl w:val="0"/>
        <w:kinsoku/>
        <w:wordWrap/>
        <w:overflowPunct/>
        <w:topLinePunct w:val="0"/>
        <w:autoSpaceDE w:val="0"/>
        <w:bidi w:val="0"/>
        <w:spacing w:line="492" w:lineRule="exact"/>
        <w:ind w:firstLine="640"/>
        <w:jc w:val="both"/>
        <w:textAlignment w:val="auto"/>
        <w:rPr>
          <w:rFonts w:ascii="仿宋" w:hAnsi="仿宋" w:eastAsia="仿宋" w:cs="仿宋"/>
          <w:sz w:val="32"/>
          <w:szCs w:val="32"/>
        </w:rPr>
      </w:pPr>
      <w:r>
        <w:rPr>
          <w:rFonts w:hint="eastAsia" w:ascii="仿宋" w:hAnsi="仿宋" w:eastAsia="仿宋" w:cs="仿宋"/>
          <w:kern w:val="2"/>
          <w:sz w:val="32"/>
          <w:szCs w:val="32"/>
          <w:lang w:bidi="ar"/>
        </w:rPr>
        <w:t>（二）施工期环境管理工作。项目提标改造过程中不停运。严格按要求及时做好现有气浮装置等的拆除工作和安全处置工作，防止二次污染。加强施工期环境管理，优化施工工艺、方案，科学施工，严格落实报告书中提出各项施工扬尘、噪声、废水、弃渣的防治措施，减少施工期对周边环境的影响。施工废水经沉淀处理后回用，施工人员生活污水依托现有设施排入厂区污水管网。强化施工扬尘防治措施，采取洒水抑尘、边界围挡、覆盖等措施减少扬尘污染，加强土石运输污染控制，土石等易产尘物料密闭运输。选用低噪声设备，合理安排施工时间和运输路线，确保施工噪声满足《建筑施工场界环境噪声排放标准》（GB12523-2011）要求。建筑垃圾收集后交相关部门统一处理。</w:t>
      </w:r>
    </w:p>
    <w:p>
      <w:pPr>
        <w:keepNext w:val="0"/>
        <w:keepLines w:val="0"/>
        <w:pageBreakBefore w:val="0"/>
        <w:widowControl w:val="0"/>
        <w:kinsoku/>
        <w:wordWrap/>
        <w:overflowPunct/>
        <w:topLinePunct w:val="0"/>
        <w:bidi w:val="0"/>
        <w:spacing w:line="492" w:lineRule="exact"/>
        <w:ind w:firstLine="640"/>
        <w:jc w:val="both"/>
        <w:textAlignment w:val="auto"/>
        <w:rPr>
          <w:rFonts w:ascii="仿宋" w:hAnsi="仿宋" w:eastAsia="仿宋" w:cs="仿宋"/>
          <w:sz w:val="32"/>
          <w:szCs w:val="32"/>
        </w:rPr>
      </w:pPr>
      <w:r>
        <w:rPr>
          <w:rFonts w:hint="eastAsia" w:ascii="仿宋" w:hAnsi="仿宋" w:eastAsia="仿宋" w:cs="仿宋"/>
          <w:kern w:val="2"/>
          <w:sz w:val="32"/>
          <w:szCs w:val="32"/>
          <w:lang w:bidi="ar"/>
        </w:rPr>
        <w:t>（三）废气污染防治工作。</w:t>
      </w:r>
      <w:r>
        <w:rPr>
          <w:rFonts w:hint="eastAsia" w:ascii="仿宋" w:hAnsi="仿宋" w:eastAsia="仿宋" w:cs="仿宋"/>
          <w:sz w:val="32"/>
          <w:szCs w:val="32"/>
        </w:rPr>
        <w:t>规范完善</w:t>
      </w:r>
      <w:r>
        <w:rPr>
          <w:rFonts w:hint="eastAsia" w:ascii="仿宋" w:hAnsi="仿宋" w:eastAsia="仿宋" w:cs="仿宋"/>
          <w:kern w:val="2"/>
          <w:sz w:val="32"/>
          <w:szCs w:val="32"/>
          <w:lang w:bidi="ar"/>
        </w:rPr>
        <w:t>第一污水处理场和第二污水处理场</w:t>
      </w:r>
      <w:r>
        <w:rPr>
          <w:rFonts w:hint="eastAsia" w:ascii="仿宋" w:hAnsi="仿宋" w:eastAsia="仿宋" w:cs="仿宋"/>
          <w:sz w:val="32"/>
          <w:szCs w:val="32"/>
        </w:rPr>
        <w:t>废气处理和集排气系统。加强设备气密性，强化日常监管，定期对设备、机泵、管道等进行维护和管理，杜绝运营过程中的跑、冒、滴、漏，最大限度减少</w:t>
      </w:r>
      <w:r>
        <w:rPr>
          <w:rFonts w:hint="eastAsia" w:ascii="仿宋" w:hAnsi="仿宋" w:eastAsia="仿宋" w:cs="仿宋"/>
          <w:bCs/>
          <w:sz w:val="32"/>
          <w:szCs w:val="32"/>
        </w:rPr>
        <w:t>生产过程中的</w:t>
      </w:r>
      <w:r>
        <w:rPr>
          <w:rFonts w:hint="eastAsia" w:ascii="仿宋" w:hAnsi="仿宋" w:eastAsia="仿宋" w:cs="仿宋"/>
          <w:sz w:val="32"/>
          <w:szCs w:val="32"/>
        </w:rPr>
        <w:t>废气无组织排放。厂区内</w:t>
      </w:r>
      <w:r>
        <w:rPr>
          <w:rFonts w:hint="eastAsia" w:ascii="仿宋" w:hAnsi="仿宋" w:eastAsia="仿宋" w:cs="仿宋"/>
          <w:kern w:val="2"/>
          <w:sz w:val="32"/>
          <w:szCs w:val="32"/>
          <w:lang w:bidi="ar"/>
        </w:rPr>
        <w:t>VOC</w:t>
      </w:r>
      <w:r>
        <w:rPr>
          <w:rFonts w:hint="eastAsia" w:ascii="仿宋" w:hAnsi="仿宋" w:eastAsia="仿宋" w:cs="仿宋"/>
          <w:kern w:val="2"/>
          <w:sz w:val="32"/>
          <w:szCs w:val="32"/>
          <w:vertAlign w:val="subscript"/>
          <w:lang w:bidi="ar"/>
        </w:rPr>
        <w:t>S</w:t>
      </w:r>
      <w:r>
        <w:rPr>
          <w:rFonts w:hint="eastAsia" w:ascii="仿宋" w:hAnsi="仿宋" w:eastAsia="仿宋" w:cs="仿宋"/>
          <w:sz w:val="32"/>
          <w:szCs w:val="32"/>
        </w:rPr>
        <w:t>执行《挥发性有机物无组织排放控制标准》（GB37822-2019）表A.1</w:t>
      </w:r>
      <w:r>
        <w:rPr>
          <w:rFonts w:hint="eastAsia" w:ascii="仿宋" w:hAnsi="仿宋" w:eastAsia="仿宋" w:cs="仿宋"/>
          <w:kern w:val="2"/>
          <w:sz w:val="32"/>
          <w:szCs w:val="32"/>
          <w:lang w:bidi="ar"/>
        </w:rPr>
        <w:t>中标准限</w:t>
      </w:r>
      <w:r>
        <w:rPr>
          <w:rFonts w:hint="eastAsia" w:ascii="仿宋" w:hAnsi="仿宋" w:eastAsia="仿宋" w:cs="仿宋"/>
          <w:sz w:val="32"/>
          <w:szCs w:val="32"/>
        </w:rPr>
        <w:t>值;厂界废气无组织排放执行《石油炼制工业</w:t>
      </w:r>
      <w:bookmarkStart w:id="2" w:name="_GoBack"/>
      <w:bookmarkEnd w:id="2"/>
      <w:r>
        <w:rPr>
          <w:rFonts w:hint="eastAsia" w:ascii="仿宋" w:hAnsi="仿宋" w:eastAsia="仿宋" w:cs="仿宋"/>
          <w:sz w:val="32"/>
          <w:szCs w:val="32"/>
        </w:rPr>
        <w:t>污染物排放标准》（GB31570- 2015）表5中标准限值；臭气浓度、硫化氢、氨执行《恶臭污染物排放标准》（GB14554-93）</w:t>
      </w:r>
      <w:r>
        <w:rPr>
          <w:rFonts w:hint="eastAsia" w:ascii="仿宋" w:hAnsi="仿宋" w:eastAsia="仿宋" w:cs="仿宋"/>
          <w:sz w:val="32"/>
          <w:szCs w:val="32"/>
          <w:lang w:val="en-US" w:eastAsia="zh-CN"/>
        </w:rPr>
        <w:t>表1</w:t>
      </w:r>
      <w:r>
        <w:rPr>
          <w:rFonts w:hint="eastAsia" w:ascii="仿宋" w:hAnsi="仿宋" w:eastAsia="仿宋" w:cs="仿宋"/>
          <w:sz w:val="32"/>
          <w:szCs w:val="32"/>
        </w:rPr>
        <w:t>限值要求。项目第一污水处理场废气经收集送碱洗塔碱洗+蓄热式电热氧化炉RTO热氧化处理达标后，</w:t>
      </w:r>
      <w:r>
        <w:rPr>
          <w:rFonts w:hint="eastAsia" w:ascii="仿宋" w:hAnsi="仿宋" w:eastAsia="仿宋" w:cs="仿宋"/>
          <w:kern w:val="2"/>
          <w:sz w:val="32"/>
          <w:szCs w:val="32"/>
          <w:lang w:bidi="ar"/>
        </w:rPr>
        <w:t>由35m高</w:t>
      </w:r>
      <w:r>
        <w:rPr>
          <w:rFonts w:hint="eastAsia" w:ascii="仿宋" w:hAnsi="仿宋" w:eastAsia="仿宋" w:cs="仿宋"/>
          <w:sz w:val="32"/>
          <w:szCs w:val="32"/>
        </w:rPr>
        <w:t>1</w:t>
      </w:r>
      <w:r>
        <w:rPr>
          <w:rFonts w:hint="eastAsia" w:ascii="仿宋" w:hAnsi="仿宋" w:eastAsia="仿宋" w:cs="仿宋"/>
          <w:sz w:val="32"/>
          <w:szCs w:val="32"/>
          <w:vertAlign w:val="superscript"/>
        </w:rPr>
        <w:t>#</w:t>
      </w:r>
      <w:r>
        <w:rPr>
          <w:rFonts w:hint="eastAsia" w:ascii="仿宋" w:hAnsi="仿宋" w:eastAsia="仿宋" w:cs="仿宋"/>
          <w:kern w:val="2"/>
          <w:sz w:val="32"/>
          <w:szCs w:val="32"/>
          <w:lang w:bidi="ar"/>
        </w:rPr>
        <w:t>排气筒外排；</w:t>
      </w:r>
      <w:r>
        <w:rPr>
          <w:rFonts w:hint="eastAsia" w:ascii="仿宋" w:hAnsi="仿宋" w:eastAsia="仿宋" w:cs="仿宋"/>
          <w:sz w:val="32"/>
          <w:szCs w:val="32"/>
        </w:rPr>
        <w:t>项目第二污水处理场废气经收集送两组“碱洗+两级高效废气净化箱（投加生物菌剂原液）+生物滤池”处理达标后，一并由20m高2</w:t>
      </w:r>
      <w:r>
        <w:rPr>
          <w:rFonts w:hint="eastAsia" w:ascii="仿宋" w:hAnsi="仿宋" w:eastAsia="仿宋" w:cs="仿宋"/>
          <w:sz w:val="32"/>
          <w:szCs w:val="32"/>
          <w:vertAlign w:val="superscript"/>
        </w:rPr>
        <w:t>#</w:t>
      </w:r>
      <w:r>
        <w:rPr>
          <w:rFonts w:hint="eastAsia" w:ascii="仿宋" w:hAnsi="仿宋" w:eastAsia="仿宋" w:cs="仿宋"/>
          <w:sz w:val="32"/>
          <w:szCs w:val="32"/>
        </w:rPr>
        <w:t>排气筒外排；以上有组织废气非甲烷总烃、苯、甲苯、二甲苯执行《石油炼制工业污染物排放标准》（GB31570- 2015）表3标准要求，废气中氨、硫化氢、臭气浓度执行《恶臭污染物排放标准》（GB14554-1993）表2标准要求。</w:t>
      </w:r>
    </w:p>
    <w:p>
      <w:pPr>
        <w:keepNext w:val="0"/>
        <w:keepLines w:val="0"/>
        <w:pageBreakBefore w:val="0"/>
        <w:widowControl w:val="0"/>
        <w:kinsoku/>
        <w:wordWrap/>
        <w:overflowPunct/>
        <w:topLinePunct w:val="0"/>
        <w:bidi w:val="0"/>
        <w:spacing w:line="492" w:lineRule="exact"/>
        <w:ind w:firstLine="640"/>
        <w:jc w:val="both"/>
        <w:textAlignment w:val="auto"/>
        <w:rPr>
          <w:rFonts w:ascii="仿宋" w:hAnsi="仿宋" w:eastAsia="仿宋" w:cs="仿宋"/>
          <w:sz w:val="32"/>
          <w:szCs w:val="32"/>
          <w:u w:val="single"/>
        </w:rPr>
      </w:pPr>
      <w:r>
        <w:rPr>
          <w:rFonts w:hint="eastAsia" w:ascii="仿宋" w:hAnsi="仿宋" w:eastAsia="仿宋" w:cs="仿宋"/>
          <w:kern w:val="2"/>
          <w:sz w:val="32"/>
          <w:szCs w:val="32"/>
          <w:lang w:bidi="ar"/>
        </w:rPr>
        <w:t>（四）废水污染防治工作。</w:t>
      </w:r>
      <w:r>
        <w:rPr>
          <w:rFonts w:hint="eastAsia" w:ascii="仿宋" w:hAnsi="仿宋" w:eastAsia="仿宋" w:cs="仿宋"/>
          <w:sz w:val="32"/>
          <w:szCs w:val="32"/>
        </w:rPr>
        <w:t>严格按照“雨污分流、清污分流、污污分流”的原则，</w:t>
      </w:r>
      <w:r>
        <w:rPr>
          <w:rFonts w:hint="eastAsia" w:ascii="仿宋" w:hAnsi="仿宋" w:eastAsia="仿宋" w:cs="仿宋"/>
          <w:kern w:val="2"/>
          <w:sz w:val="32"/>
          <w:szCs w:val="32"/>
          <w:lang w:bidi="ar"/>
        </w:rPr>
        <w:t>规范完善项目区雨污管网。本项目生</w:t>
      </w:r>
      <w:r>
        <w:rPr>
          <w:rFonts w:hint="eastAsia" w:ascii="仿宋" w:hAnsi="仿宋" w:eastAsia="仿宋"/>
          <w:sz w:val="32"/>
          <w:szCs w:val="32"/>
        </w:rPr>
        <w:t>活污水经</w:t>
      </w:r>
      <w:r>
        <w:rPr>
          <w:rFonts w:ascii="仿宋" w:hAnsi="仿宋" w:eastAsia="仿宋"/>
          <w:sz w:val="32"/>
          <w:szCs w:val="32"/>
        </w:rPr>
        <w:t>收集</w:t>
      </w:r>
      <w:r>
        <w:rPr>
          <w:rFonts w:hint="eastAsia" w:ascii="仿宋" w:hAnsi="仿宋" w:eastAsia="仿宋"/>
          <w:sz w:val="32"/>
          <w:szCs w:val="32"/>
        </w:rPr>
        <w:t>纳入</w:t>
      </w:r>
      <w:r>
        <w:rPr>
          <w:rFonts w:ascii="仿宋" w:hAnsi="仿宋" w:eastAsia="仿宋"/>
          <w:sz w:val="32"/>
          <w:szCs w:val="32"/>
        </w:rPr>
        <w:t>污水处理系统</w:t>
      </w:r>
      <w:r>
        <w:rPr>
          <w:rFonts w:hint="eastAsia" w:ascii="仿宋" w:hAnsi="仿宋" w:eastAsia="仿宋"/>
          <w:sz w:val="32"/>
          <w:szCs w:val="32"/>
        </w:rPr>
        <w:t>处理</w:t>
      </w:r>
      <w:r>
        <w:rPr>
          <w:rFonts w:ascii="仿宋" w:hAnsi="仿宋" w:eastAsia="仿宋"/>
          <w:sz w:val="32"/>
          <w:szCs w:val="32"/>
        </w:rPr>
        <w:t>。</w:t>
      </w:r>
      <w:r>
        <w:rPr>
          <w:rFonts w:hint="eastAsia" w:ascii="仿宋" w:hAnsi="仿宋" w:eastAsia="仿宋"/>
          <w:sz w:val="32"/>
          <w:szCs w:val="32"/>
        </w:rPr>
        <w:t>规范</w:t>
      </w:r>
      <w:r>
        <w:rPr>
          <w:rFonts w:hint="eastAsia" w:ascii="仿宋" w:hAnsi="仿宋" w:eastAsia="仿宋"/>
          <w:kern w:val="2"/>
          <w:sz w:val="32"/>
          <w:szCs w:val="32"/>
        </w:rPr>
        <w:t>建设排污口，设置在线监测系统，并与生态环境部门联网。处理后外排尾水水质中</w:t>
      </w:r>
      <w:r>
        <w:rPr>
          <w:rFonts w:hint="eastAsia" w:ascii="仿宋" w:hAnsi="仿宋" w:eastAsia="仿宋" w:cs="仿宋"/>
          <w:sz w:val="32"/>
          <w:szCs w:val="32"/>
        </w:rPr>
        <w:t>加工单位原料油基准排水量、化学需氧量、氨氮、总氮、总磷、悬浮物执行《石油炼制工业污染物排放标准》（GB31570-2015）表2中的特别排放限值中的直接排放限值，其中化学需氧量、氨氮、总氮、总磷、悬浮物须同时满足《石油化学工业污染物排放标准》（GB31571-2015）表2中的特别排放限值中的直接排放限值；其余指标同时满足《石油炼制工业污染物排放标准》（GB31570-2015）表1直接排放标准限值和《石油化学工业污染物排放标准》（GB31571-2015）表1直接排放标准限值中二者的严值。</w:t>
      </w:r>
    </w:p>
    <w:p>
      <w:pPr>
        <w:keepNext w:val="0"/>
        <w:keepLines w:val="0"/>
        <w:pageBreakBefore w:val="0"/>
        <w:widowControl w:val="0"/>
        <w:kinsoku/>
        <w:wordWrap/>
        <w:overflowPunct/>
        <w:topLinePunct w:val="0"/>
        <w:autoSpaceDE w:val="0"/>
        <w:bidi w:val="0"/>
        <w:spacing w:line="492" w:lineRule="exact"/>
        <w:ind w:firstLine="640"/>
        <w:textAlignment w:val="auto"/>
        <w:rPr>
          <w:rFonts w:ascii="仿宋" w:hAnsi="仿宋" w:eastAsia="仿宋" w:cs="仿宋"/>
          <w:bCs/>
          <w:color w:val="000000"/>
          <w:sz w:val="32"/>
          <w:szCs w:val="32"/>
        </w:rPr>
      </w:pPr>
      <w:r>
        <w:rPr>
          <w:rFonts w:hint="eastAsia" w:ascii="仿宋" w:hAnsi="仿宋" w:eastAsia="仿宋" w:cs="仿宋"/>
          <w:kern w:val="2"/>
          <w:sz w:val="32"/>
          <w:szCs w:val="32"/>
          <w:lang w:bidi="ar"/>
        </w:rPr>
        <w:t>（五）</w:t>
      </w:r>
      <w:r>
        <w:rPr>
          <w:rFonts w:hint="eastAsia" w:ascii="仿宋" w:hAnsi="仿宋" w:eastAsia="仿宋" w:cs="仿宋"/>
          <w:bCs/>
          <w:color w:val="000000"/>
          <w:kern w:val="2"/>
          <w:sz w:val="32"/>
          <w:szCs w:val="32"/>
          <w:lang w:bidi="ar"/>
        </w:rPr>
        <w:t>地下水污染防治工作。</w:t>
      </w:r>
      <w:r>
        <w:rPr>
          <w:rFonts w:hint="eastAsia" w:ascii="仿宋" w:hAnsi="仿宋" w:eastAsia="仿宋" w:cs="仿宋"/>
          <w:bCs/>
          <w:color w:val="000000"/>
          <w:sz w:val="32"/>
          <w:szCs w:val="32"/>
        </w:rPr>
        <w:t>按照“源头控制、分区防治、污染监控、应急响应”相结合的原则，严格落实报告书提出的地下水污染防治措施，做好</w:t>
      </w:r>
      <w:r>
        <w:rPr>
          <w:rFonts w:hint="eastAsia" w:ascii="仿宋" w:hAnsi="仿宋" w:eastAsia="仿宋"/>
          <w:sz w:val="32"/>
          <w:szCs w:val="32"/>
        </w:rPr>
        <w:t>各类池体、</w:t>
      </w:r>
      <w:r>
        <w:rPr>
          <w:rFonts w:hint="eastAsia" w:ascii="仿宋" w:hAnsi="仿宋" w:eastAsia="仿宋" w:cs="仿宋"/>
          <w:bCs/>
          <w:color w:val="000000"/>
          <w:sz w:val="32"/>
          <w:szCs w:val="32"/>
        </w:rPr>
        <w:t>厂内污水管网等改造工程的</w:t>
      </w:r>
      <w:r>
        <w:rPr>
          <w:rFonts w:hint="eastAsia" w:ascii="仿宋" w:hAnsi="仿宋" w:eastAsia="仿宋"/>
          <w:sz w:val="32"/>
          <w:szCs w:val="32"/>
        </w:rPr>
        <w:t>密封</w:t>
      </w:r>
      <w:r>
        <w:rPr>
          <w:rFonts w:hint="eastAsia" w:ascii="仿宋" w:hAnsi="仿宋" w:eastAsia="仿宋" w:cs="仿宋"/>
          <w:bCs/>
          <w:color w:val="000000"/>
          <w:sz w:val="32"/>
          <w:szCs w:val="32"/>
        </w:rPr>
        <w:t>防腐、防渗、防漏工作，</w:t>
      </w:r>
      <w:r>
        <w:rPr>
          <w:rFonts w:hint="eastAsia" w:ascii="仿宋" w:hAnsi="仿宋" w:eastAsia="仿宋"/>
          <w:sz w:val="32"/>
          <w:szCs w:val="32"/>
        </w:rPr>
        <w:t>防止发生渗漏对区域地下水造成污染。</w:t>
      </w:r>
      <w:r>
        <w:rPr>
          <w:rFonts w:hint="eastAsia" w:ascii="仿宋" w:hAnsi="仿宋" w:eastAsia="仿宋" w:cs="仿宋"/>
          <w:bCs/>
          <w:color w:val="000000"/>
          <w:sz w:val="32"/>
          <w:szCs w:val="32"/>
        </w:rPr>
        <w:t>按相关规范要求做好跟踪监测工作，确保地下水环境安全。</w:t>
      </w:r>
    </w:p>
    <w:p>
      <w:pPr>
        <w:pStyle w:val="7"/>
        <w:keepNext w:val="0"/>
        <w:keepLines w:val="0"/>
        <w:pageBreakBefore w:val="0"/>
        <w:widowControl w:val="0"/>
        <w:kinsoku/>
        <w:wordWrap/>
        <w:overflowPunct/>
        <w:topLinePunct w:val="0"/>
        <w:bidi w:val="0"/>
        <w:spacing w:before="0" w:beforeAutospacing="0" w:after="0" w:afterAutospacing="0" w:line="492" w:lineRule="exact"/>
        <w:ind w:firstLine="640"/>
        <w:jc w:val="both"/>
        <w:textAlignment w:val="auto"/>
        <w:rPr>
          <w:rFonts w:ascii="仿宋" w:hAnsi="仿宋" w:eastAsia="仿宋" w:cs="仿宋"/>
          <w:kern w:val="2"/>
          <w:sz w:val="32"/>
          <w:szCs w:val="32"/>
          <w:u w:val="single"/>
          <w:lang w:bidi="ar"/>
        </w:rPr>
      </w:pPr>
      <w:r>
        <w:rPr>
          <w:rFonts w:hint="eastAsia" w:ascii="仿宋" w:hAnsi="仿宋" w:eastAsia="仿宋" w:cs="仿宋"/>
          <w:kern w:val="2"/>
          <w:sz w:val="32"/>
          <w:szCs w:val="32"/>
          <w:lang w:bidi="ar"/>
        </w:rPr>
        <w:t>（六）噪声防治工作。</w:t>
      </w:r>
      <w:r>
        <w:rPr>
          <w:rFonts w:hint="eastAsia" w:ascii="仿宋" w:hAnsi="仿宋" w:eastAsia="仿宋" w:cs="仿宋"/>
          <w:sz w:val="32"/>
          <w:szCs w:val="32"/>
        </w:rPr>
        <w:t>采用低噪声设备，合理布局，加强各类设施的维护保养，对刮泥机、刮渣机和各类风机、泵等新增噪声产生设施设备采取隔声、消声等措施，确保第一污</w:t>
      </w:r>
      <w:r>
        <w:rPr>
          <w:rFonts w:hint="eastAsia" w:ascii="仿宋" w:hAnsi="仿宋" w:eastAsia="仿宋" w:cs="仿宋"/>
          <w:kern w:val="2"/>
          <w:sz w:val="32"/>
          <w:szCs w:val="32"/>
          <w:lang w:bidi="ar"/>
        </w:rPr>
        <w:t>水处理场和第二污水处理场</w:t>
      </w:r>
      <w:r>
        <w:rPr>
          <w:rFonts w:hint="eastAsia" w:ascii="仿宋" w:hAnsi="仿宋" w:eastAsia="仿宋" w:cs="仿宋"/>
          <w:sz w:val="32"/>
          <w:szCs w:val="32"/>
        </w:rPr>
        <w:t>厂界噪声分别满足《工业企业厂界环境噪声排放标准》(GB12348-2008)中的3类和2类标准要求。</w:t>
      </w:r>
    </w:p>
    <w:p>
      <w:pPr>
        <w:keepNext w:val="0"/>
        <w:keepLines w:val="0"/>
        <w:pageBreakBefore w:val="0"/>
        <w:widowControl w:val="0"/>
        <w:kinsoku/>
        <w:wordWrap/>
        <w:overflowPunct/>
        <w:topLinePunct w:val="0"/>
        <w:bidi w:val="0"/>
        <w:spacing w:line="492" w:lineRule="exact"/>
        <w:ind w:firstLine="640"/>
        <w:textAlignment w:val="auto"/>
        <w:rPr>
          <w:rFonts w:ascii="仿宋" w:hAnsi="仿宋" w:eastAsia="仿宋" w:cs="仿宋"/>
          <w:sz w:val="32"/>
          <w:szCs w:val="32"/>
        </w:rPr>
      </w:pPr>
      <w:r>
        <w:rPr>
          <w:rFonts w:hint="eastAsia" w:ascii="仿宋" w:hAnsi="仿宋" w:eastAsia="仿宋" w:cs="仿宋"/>
          <w:kern w:val="2"/>
          <w:sz w:val="32"/>
          <w:szCs w:val="32"/>
          <w:lang w:bidi="ar"/>
        </w:rPr>
        <w:t>（七）固体废物管理工作。</w:t>
      </w:r>
      <w:r>
        <w:rPr>
          <w:rFonts w:hint="eastAsia" w:ascii="仿宋" w:hAnsi="仿宋" w:eastAsia="仿宋" w:cs="仿宋"/>
          <w:sz w:val="32"/>
          <w:szCs w:val="32"/>
        </w:rPr>
        <w:t>按“无害化、减量化、资源化”原则，严格落实《危险废物贮存污染控制标准（GB18597-2001）》及其2013年修改单和《</w:t>
      </w:r>
      <w:r>
        <w:fldChar w:fldCharType="begin"/>
      </w:r>
      <w:r>
        <w:instrText xml:space="preserve"> HYPERLINK "http://www.mee.gov.cn/ywgz/fgbz/bz/bzwb/gthw/gtfwwrkzbz/202012/W020201218695845325455.pdf" </w:instrText>
      </w:r>
      <w:r>
        <w:fldChar w:fldCharType="separate"/>
      </w:r>
      <w:r>
        <w:rPr>
          <w:rFonts w:hint="eastAsia" w:ascii="仿宋" w:hAnsi="仿宋" w:eastAsia="仿宋" w:cs="仿宋"/>
          <w:sz w:val="32"/>
          <w:szCs w:val="32"/>
        </w:rPr>
        <w:t>一般工业固体废物贮存和填埋污染控制标准（GB18599-2020）</w:t>
      </w:r>
      <w:r>
        <w:rPr>
          <w:rFonts w:hint="eastAsia" w:ascii="仿宋" w:hAnsi="仿宋" w:eastAsia="仿宋" w:cs="仿宋"/>
          <w:sz w:val="32"/>
          <w:szCs w:val="32"/>
        </w:rPr>
        <w:fldChar w:fldCharType="end"/>
      </w:r>
      <w:r>
        <w:rPr>
          <w:rFonts w:hint="eastAsia" w:ascii="仿宋" w:hAnsi="仿宋" w:eastAsia="仿宋" w:cs="仿宋"/>
          <w:sz w:val="32"/>
          <w:szCs w:val="32"/>
        </w:rPr>
        <w:t>》相关标准和规定要求，做好固体废物分类收集、暂存工作，建立健全固体废物产生、转运、处置管理台帐。</w:t>
      </w:r>
      <w:r>
        <w:rPr>
          <w:rFonts w:hint="eastAsia" w:ascii="仿宋" w:hAnsi="仿宋" w:eastAsia="仿宋" w:cs="仿宋"/>
          <w:kern w:val="2"/>
          <w:sz w:val="32"/>
          <w:szCs w:val="32"/>
          <w:lang w:bidi="ar"/>
        </w:rPr>
        <w:t>项目产生油泥、浮渣等危险废物经收集送焦化装置回炼</w:t>
      </w:r>
      <w:r>
        <w:rPr>
          <w:rFonts w:hint="eastAsia" w:ascii="仿宋" w:hAnsi="仿宋" w:eastAsia="仿宋" w:cs="仿宋"/>
          <w:sz w:val="32"/>
          <w:szCs w:val="32"/>
        </w:rPr>
        <w:t>或长岭分公司CFB锅炉掺烧利用，项目产生污泥在危废鉴别结果确定其属性前继续按照危险废物管理，和废片</w:t>
      </w:r>
      <w:r>
        <w:rPr>
          <w:rFonts w:hint="eastAsia" w:ascii="仿宋" w:hAnsi="仿宋" w:eastAsia="仿宋" w:cs="仿宋"/>
          <w:kern w:val="2"/>
          <w:sz w:val="32"/>
          <w:szCs w:val="32"/>
          <w:lang w:bidi="ar"/>
        </w:rPr>
        <w:t>碱等危险废物经收集后交有资质的单位安全处置并严格按照</w:t>
      </w:r>
      <w:r>
        <w:rPr>
          <w:rFonts w:hint="eastAsia" w:ascii="仿宋" w:hAnsi="仿宋" w:eastAsia="仿宋" w:cs="仿宋"/>
          <w:sz w:val="32"/>
          <w:szCs w:val="32"/>
        </w:rPr>
        <w:t>《</w:t>
      </w:r>
      <w:r>
        <w:rPr>
          <w:rFonts w:hint="eastAsia" w:ascii="仿宋" w:hAnsi="仿宋" w:eastAsia="仿宋" w:cs="仿宋"/>
          <w:kern w:val="2"/>
          <w:sz w:val="32"/>
          <w:szCs w:val="32"/>
          <w:lang w:bidi="ar"/>
        </w:rPr>
        <w:t>危险废物转移管理办法</w:t>
      </w:r>
      <w:r>
        <w:rPr>
          <w:rFonts w:hint="eastAsia" w:ascii="仿宋" w:hAnsi="仿宋" w:eastAsia="仿宋" w:cs="仿宋"/>
          <w:sz w:val="32"/>
          <w:szCs w:val="32"/>
        </w:rPr>
        <w:t>》要求</w:t>
      </w:r>
      <w:r>
        <w:rPr>
          <w:rFonts w:hint="eastAsia" w:ascii="仿宋" w:hAnsi="仿宋" w:eastAsia="仿宋" w:cs="仿宋"/>
          <w:kern w:val="2"/>
          <w:sz w:val="32"/>
          <w:szCs w:val="32"/>
          <w:lang w:bidi="ar"/>
        </w:rPr>
        <w:t>落实相关转移工作。其他一般废包装材料经收集后综合利用。</w:t>
      </w:r>
    </w:p>
    <w:p>
      <w:pPr>
        <w:keepNext w:val="0"/>
        <w:keepLines w:val="0"/>
        <w:pageBreakBefore w:val="0"/>
        <w:widowControl w:val="0"/>
        <w:kinsoku/>
        <w:wordWrap/>
        <w:overflowPunct/>
        <w:topLinePunct w:val="0"/>
        <w:autoSpaceDE w:val="0"/>
        <w:bidi w:val="0"/>
        <w:spacing w:line="492" w:lineRule="exact"/>
        <w:ind w:firstLine="640"/>
        <w:textAlignment w:val="auto"/>
        <w:rPr>
          <w:rFonts w:ascii="仿宋" w:hAnsi="仿宋" w:eastAsia="仿宋" w:cs="仿宋"/>
          <w:sz w:val="32"/>
          <w:szCs w:val="32"/>
        </w:rPr>
      </w:pPr>
      <w:r>
        <w:rPr>
          <w:rFonts w:hint="eastAsia" w:ascii="仿宋" w:hAnsi="仿宋" w:eastAsia="仿宋" w:cs="仿宋"/>
          <w:kern w:val="2"/>
          <w:sz w:val="32"/>
          <w:szCs w:val="32"/>
          <w:lang w:bidi="ar"/>
        </w:rPr>
        <w:t>（八）环境管理和风险防范工作。</w:t>
      </w:r>
      <w:r>
        <w:rPr>
          <w:rFonts w:hint="eastAsia" w:ascii="仿宋" w:hAnsi="仿宋" w:eastAsia="仿宋" w:cs="仿宋"/>
          <w:sz w:val="32"/>
          <w:szCs w:val="32"/>
        </w:rPr>
        <w:t>设专门环保机构，配备专职环保管理人员，按计划做好运营期环境监测工作，加强日常监管，落实好巡检维护工作，确保各污染防治设施的正常运行，各类污染物稳定达标排放。加强环境风险管理，严格落实报告书提出的各项环境风险防范措施，采用双路供电，</w:t>
      </w:r>
      <w:r>
        <w:rPr>
          <w:rFonts w:hint="eastAsia" w:ascii="仿宋" w:hAnsi="仿宋" w:eastAsia="仿宋"/>
          <w:sz w:val="32"/>
          <w:szCs w:val="32"/>
        </w:rPr>
        <w:t>做好电源供应保障，关键设备设置备用，防止废水事故性风险排放，</w:t>
      </w:r>
      <w:r>
        <w:rPr>
          <w:rFonts w:hint="eastAsia" w:ascii="仿宋" w:hAnsi="仿宋" w:eastAsia="仿宋" w:cs="仿宋"/>
          <w:sz w:val="32"/>
          <w:szCs w:val="32"/>
        </w:rPr>
        <w:t>按要求配齐各类检测预警和在线监控、应急设施，按照《突发环境事件应急管理办法》完善突发环境事件应急预案，储备风险救助物资并定期组织演练，杜绝环境风险事故发生，确保周边环境安全。</w:t>
      </w:r>
    </w:p>
    <w:p>
      <w:pPr>
        <w:keepNext w:val="0"/>
        <w:keepLines w:val="0"/>
        <w:pageBreakBefore w:val="0"/>
        <w:widowControl w:val="0"/>
        <w:kinsoku/>
        <w:wordWrap/>
        <w:overflowPunct/>
        <w:topLinePunct w:val="0"/>
        <w:autoSpaceDE w:val="0"/>
        <w:bidi w:val="0"/>
        <w:spacing w:line="492" w:lineRule="exact"/>
        <w:ind w:firstLine="640"/>
        <w:textAlignment w:val="auto"/>
        <w:rPr>
          <w:rFonts w:ascii="仿宋" w:hAnsi="仿宋" w:eastAsia="仿宋" w:cs="仿宋"/>
          <w:sz w:val="32"/>
          <w:szCs w:val="32"/>
          <w:u w:val="single"/>
        </w:rPr>
      </w:pPr>
      <w:r>
        <w:rPr>
          <w:rFonts w:hint="eastAsia" w:ascii="仿宋" w:hAnsi="仿宋" w:eastAsia="仿宋" w:cs="仿宋"/>
          <w:sz w:val="32"/>
          <w:szCs w:val="32"/>
        </w:rPr>
        <w:t>（九）本项目主要污染物总量为：COD≤175.2t/a、NH</w:t>
      </w:r>
      <w:r>
        <w:rPr>
          <w:rFonts w:hint="eastAsia" w:ascii="仿宋" w:hAnsi="仿宋" w:eastAsia="仿宋" w:cs="仿宋"/>
          <w:sz w:val="32"/>
          <w:szCs w:val="32"/>
          <w:vertAlign w:val="subscript"/>
        </w:rPr>
        <w:t>3</w:t>
      </w:r>
      <w:r>
        <w:rPr>
          <w:rFonts w:hint="eastAsia" w:ascii="仿宋" w:hAnsi="仿宋" w:eastAsia="仿宋" w:cs="仿宋"/>
          <w:sz w:val="32"/>
          <w:szCs w:val="32"/>
        </w:rPr>
        <w:t>-N≤17.52t/a、VOCs≤61.6t/a。项目总量纳入中石化长岭分公司现有总量控制指标内管理，公司现有总量在排污权证范围内。</w:t>
      </w:r>
    </w:p>
    <w:p>
      <w:pPr>
        <w:keepNext w:val="0"/>
        <w:keepLines w:val="0"/>
        <w:pageBreakBefore w:val="0"/>
        <w:widowControl w:val="0"/>
        <w:kinsoku/>
        <w:wordWrap/>
        <w:overflowPunct/>
        <w:topLinePunct w:val="0"/>
        <w:bidi w:val="0"/>
        <w:spacing w:line="492" w:lineRule="exact"/>
        <w:ind w:firstLine="640"/>
        <w:jc w:val="both"/>
        <w:textAlignment w:val="auto"/>
        <w:rPr>
          <w:rFonts w:ascii="仿宋" w:hAnsi="仿宋" w:eastAsia="仿宋" w:cs="仿宋"/>
          <w:sz w:val="32"/>
          <w:szCs w:val="32"/>
          <w:u w:val="single"/>
        </w:rPr>
      </w:pPr>
      <w:r>
        <w:rPr>
          <w:rFonts w:hint="eastAsia" w:ascii="仿宋" w:hAnsi="仿宋" w:eastAsia="仿宋" w:cs="仿宋"/>
          <w:kern w:val="2"/>
          <w:sz w:val="32"/>
          <w:szCs w:val="32"/>
          <w:lang w:bidi="ar"/>
        </w:rPr>
        <w:t>三、你公司应在收到本批复后15个工作日内，将批复及批准的环评报告文本送至岳阳市生态环境局云溪分局、湖南中汇环境科技有限公司。</w:t>
      </w:r>
    </w:p>
    <w:p>
      <w:pPr>
        <w:keepNext w:val="0"/>
        <w:keepLines w:val="0"/>
        <w:pageBreakBefore w:val="0"/>
        <w:widowControl w:val="0"/>
        <w:kinsoku/>
        <w:wordWrap/>
        <w:overflowPunct/>
        <w:topLinePunct w:val="0"/>
        <w:bidi w:val="0"/>
        <w:spacing w:line="492" w:lineRule="exact"/>
        <w:ind w:firstLine="640"/>
        <w:textAlignment w:val="auto"/>
        <w:rPr>
          <w:rFonts w:ascii="仿宋" w:hAnsi="仿宋" w:eastAsia="仿宋" w:cs="仿宋"/>
          <w:kern w:val="2"/>
          <w:sz w:val="32"/>
          <w:szCs w:val="32"/>
          <w:lang w:bidi="ar"/>
        </w:rPr>
      </w:pPr>
      <w:r>
        <w:rPr>
          <w:rFonts w:hint="eastAsia" w:ascii="仿宋" w:hAnsi="仿宋" w:eastAsia="仿宋" w:cs="仿宋"/>
          <w:kern w:val="2"/>
          <w:sz w:val="32"/>
          <w:szCs w:val="32"/>
          <w:lang w:bidi="ar"/>
        </w:rPr>
        <w:t>四、请岳阳市生态环境局云溪分局负责项目建设和运营期的日常环境监管。</w:t>
      </w:r>
    </w:p>
    <w:p>
      <w:pPr>
        <w:spacing w:line="460" w:lineRule="exact"/>
        <w:ind w:firstLine="4800" w:firstLineChars="1500"/>
        <w:rPr>
          <w:rFonts w:ascii="仿宋" w:hAnsi="仿宋" w:eastAsia="仿宋" w:cs="仿宋"/>
          <w:sz w:val="32"/>
          <w:szCs w:val="32"/>
          <w:u w:val="single"/>
        </w:rPr>
      </w:pPr>
    </w:p>
    <w:p>
      <w:pPr>
        <w:pStyle w:val="2"/>
        <w:ind w:firstLine="400"/>
      </w:pPr>
    </w:p>
    <w:p>
      <w:pPr>
        <w:spacing w:line="460" w:lineRule="exact"/>
        <w:ind w:firstLine="4800" w:firstLineChars="1500"/>
        <w:rPr>
          <w:rFonts w:ascii="仿宋" w:hAnsi="仿宋" w:eastAsia="仿宋" w:cs="仿宋"/>
          <w:sz w:val="32"/>
          <w:szCs w:val="32"/>
        </w:rPr>
      </w:pPr>
    </w:p>
    <w:p>
      <w:pPr>
        <w:spacing w:line="460" w:lineRule="exact"/>
        <w:ind w:firstLine="4800" w:firstLineChars="1500"/>
        <w:rPr>
          <w:rFonts w:ascii="仿宋" w:hAnsi="仿宋" w:eastAsia="仿宋" w:cs="仿宋"/>
          <w:sz w:val="32"/>
          <w:szCs w:val="32"/>
        </w:rPr>
      </w:pPr>
    </w:p>
    <w:p>
      <w:pPr>
        <w:spacing w:line="460" w:lineRule="exact"/>
        <w:ind w:firstLine="4480" w:firstLineChars="1400"/>
        <w:rPr>
          <w:rFonts w:ascii="仿宋" w:hAnsi="仿宋" w:eastAsia="仿宋" w:cs="仿宋"/>
          <w:sz w:val="32"/>
          <w:szCs w:val="32"/>
        </w:rPr>
      </w:pPr>
      <w:r>
        <w:rPr>
          <w:rFonts w:hint="eastAsia" w:ascii="仿宋" w:hAnsi="仿宋" w:eastAsia="仿宋" w:cs="仿宋"/>
          <w:sz w:val="32"/>
          <w:szCs w:val="32"/>
        </w:rPr>
        <w:t>　岳阳市生态环境局</w:t>
      </w:r>
    </w:p>
    <w:p>
      <w:pPr>
        <w:spacing w:line="460" w:lineRule="exact"/>
        <w:ind w:firstLine="64" w:firstLineChars="20"/>
        <w:rPr>
          <w:rFonts w:ascii="仿宋" w:hAnsi="仿宋" w:eastAsia="仿宋" w:cs="仿宋"/>
          <w:color w:val="F79646"/>
          <w:sz w:val="32"/>
          <w:szCs w:val="32"/>
        </w:rPr>
      </w:pPr>
      <w:r>
        <w:rPr>
          <w:rFonts w:hint="eastAsia" w:ascii="仿宋" w:hAnsi="仿宋" w:eastAsia="仿宋" w:cs="仿宋"/>
          <w:sz w:val="32"/>
          <w:szCs w:val="32"/>
        </w:rPr>
        <w:t xml:space="preserve">                              2022年9月</w:t>
      </w:r>
      <w:r>
        <w:rPr>
          <w:rFonts w:hint="eastAsia" w:ascii="仿宋" w:hAnsi="仿宋" w:eastAsia="仿宋" w:cs="仿宋"/>
          <w:sz w:val="32"/>
          <w:szCs w:val="32"/>
          <w:lang w:val="en-US" w:eastAsia="zh-CN"/>
        </w:rPr>
        <w:t>28</w:t>
      </w:r>
      <w:r>
        <w:rPr>
          <w:rFonts w:hint="eastAsia" w:ascii="仿宋" w:hAnsi="仿宋" w:eastAsia="仿宋" w:cs="仿宋"/>
          <w:sz w:val="32"/>
          <w:szCs w:val="32"/>
        </w:rPr>
        <w:t>日</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588" w:bottom="1417" w:left="1644" w:header="851" w:footer="992" w:gutter="0"/>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00"/>
      </w:pPr>
      <w:r>
        <w:separator/>
      </w:r>
    </w:p>
  </w:endnote>
  <w:endnote w:type="continuationSeparator" w:id="1">
    <w:p>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 w:name="新宋体-18030">
    <w:altName w:val="宋体"/>
    <w:panose1 w:val="00000000000000000000"/>
    <w:charset w:val="00"/>
    <w:family w:val="auto"/>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jc w:val="center"/>
    </w:pPr>
    <w:r>
      <w:fldChar w:fldCharType="begin"/>
    </w:r>
    <w:r>
      <w:instrText xml:space="preserve"> PAGE   \* MERGEFORMAT </w:instrText>
    </w:r>
    <w:r>
      <w:fldChar w:fldCharType="separate"/>
    </w:r>
    <w:r>
      <w:rPr>
        <w:lang w:val="zh-CN"/>
      </w:rPr>
      <w:t>2</w:t>
    </w:r>
    <w:r>
      <w:fldChar w:fldCharType="end"/>
    </w:r>
  </w:p>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00"/>
      </w:pPr>
      <w:r>
        <w:separator/>
      </w:r>
    </w:p>
  </w:footnote>
  <w:footnote w:type="continuationSeparator" w:id="1">
    <w:p>
      <w:pPr>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00"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dit="trackedChanges" w:enforcement="0"/>
  <w:defaultTabStop w:val="420"/>
  <w:drawingGridVerticalSpacing w:val="156"/>
  <w:displayHorizontalDrawingGridEvery w:val="0"/>
  <w:displayVerticalDrawingGridEvery w:val="2"/>
  <w:doNotShadeFormData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NGZjYWYyNTBkYjc4NTc5ZmFjMmFiYzM0YzgyZjIifQ=="/>
  </w:docVars>
  <w:rsids>
    <w:rsidRoot w:val="00172A27"/>
    <w:rsid w:val="000321A3"/>
    <w:rsid w:val="000C2CB0"/>
    <w:rsid w:val="001079C4"/>
    <w:rsid w:val="00143949"/>
    <w:rsid w:val="00172A27"/>
    <w:rsid w:val="001A5241"/>
    <w:rsid w:val="001C31CD"/>
    <w:rsid w:val="001C5263"/>
    <w:rsid w:val="002876A5"/>
    <w:rsid w:val="002A5657"/>
    <w:rsid w:val="003D50B2"/>
    <w:rsid w:val="00492B9D"/>
    <w:rsid w:val="004A1D17"/>
    <w:rsid w:val="004A6F88"/>
    <w:rsid w:val="004A7447"/>
    <w:rsid w:val="005471A6"/>
    <w:rsid w:val="005E141B"/>
    <w:rsid w:val="005E28A1"/>
    <w:rsid w:val="00681DFC"/>
    <w:rsid w:val="00686D10"/>
    <w:rsid w:val="006E05E0"/>
    <w:rsid w:val="007C3E45"/>
    <w:rsid w:val="007D615F"/>
    <w:rsid w:val="007E21C8"/>
    <w:rsid w:val="008569D4"/>
    <w:rsid w:val="00905411"/>
    <w:rsid w:val="009A783D"/>
    <w:rsid w:val="00A66054"/>
    <w:rsid w:val="00AD1661"/>
    <w:rsid w:val="00AF4DA4"/>
    <w:rsid w:val="00B7591D"/>
    <w:rsid w:val="00BD74D2"/>
    <w:rsid w:val="00C3296E"/>
    <w:rsid w:val="00C86672"/>
    <w:rsid w:val="00CF5969"/>
    <w:rsid w:val="00D45532"/>
    <w:rsid w:val="00DA67FB"/>
    <w:rsid w:val="00ED1932"/>
    <w:rsid w:val="00F0328E"/>
    <w:rsid w:val="00F11053"/>
    <w:rsid w:val="00FE58FE"/>
    <w:rsid w:val="015224BD"/>
    <w:rsid w:val="01891285"/>
    <w:rsid w:val="01B0D7D3"/>
    <w:rsid w:val="02532A52"/>
    <w:rsid w:val="02DD4630"/>
    <w:rsid w:val="033169AF"/>
    <w:rsid w:val="041A2636"/>
    <w:rsid w:val="04B02432"/>
    <w:rsid w:val="051C64AB"/>
    <w:rsid w:val="05517BC4"/>
    <w:rsid w:val="05C60FBA"/>
    <w:rsid w:val="06125F58"/>
    <w:rsid w:val="067A7CA7"/>
    <w:rsid w:val="06E758F6"/>
    <w:rsid w:val="06EB2968"/>
    <w:rsid w:val="07797FDE"/>
    <w:rsid w:val="07D371FC"/>
    <w:rsid w:val="086F61D4"/>
    <w:rsid w:val="08841607"/>
    <w:rsid w:val="08D764E3"/>
    <w:rsid w:val="0906269B"/>
    <w:rsid w:val="096E1B37"/>
    <w:rsid w:val="0A424E15"/>
    <w:rsid w:val="0AD77DB8"/>
    <w:rsid w:val="0AE34E05"/>
    <w:rsid w:val="0B394F9D"/>
    <w:rsid w:val="0BB70D95"/>
    <w:rsid w:val="0D040868"/>
    <w:rsid w:val="0D5D626B"/>
    <w:rsid w:val="0E5D61F2"/>
    <w:rsid w:val="0E686F94"/>
    <w:rsid w:val="0EF3390B"/>
    <w:rsid w:val="0F9E7E09"/>
    <w:rsid w:val="0FF3183A"/>
    <w:rsid w:val="100D774C"/>
    <w:rsid w:val="1073CCF6"/>
    <w:rsid w:val="10805093"/>
    <w:rsid w:val="10826665"/>
    <w:rsid w:val="10A5534F"/>
    <w:rsid w:val="119F4A7B"/>
    <w:rsid w:val="13D635FD"/>
    <w:rsid w:val="15233C15"/>
    <w:rsid w:val="16A164D9"/>
    <w:rsid w:val="17301CE7"/>
    <w:rsid w:val="1780786A"/>
    <w:rsid w:val="17DC26EE"/>
    <w:rsid w:val="18A13CA6"/>
    <w:rsid w:val="19283F59"/>
    <w:rsid w:val="196953A5"/>
    <w:rsid w:val="19FA7936"/>
    <w:rsid w:val="1A23645B"/>
    <w:rsid w:val="1A856356"/>
    <w:rsid w:val="1B2A2304"/>
    <w:rsid w:val="1B421AAC"/>
    <w:rsid w:val="1D135163"/>
    <w:rsid w:val="1D5F3843"/>
    <w:rsid w:val="1D6D3C7F"/>
    <w:rsid w:val="1E242A34"/>
    <w:rsid w:val="203C3DDD"/>
    <w:rsid w:val="203D04D8"/>
    <w:rsid w:val="20605D1D"/>
    <w:rsid w:val="20E01AC9"/>
    <w:rsid w:val="2218568E"/>
    <w:rsid w:val="22EE048C"/>
    <w:rsid w:val="2425BFD6"/>
    <w:rsid w:val="244F2331"/>
    <w:rsid w:val="27AEFAF6"/>
    <w:rsid w:val="283D4832"/>
    <w:rsid w:val="29F6041F"/>
    <w:rsid w:val="2A133781"/>
    <w:rsid w:val="2A750C47"/>
    <w:rsid w:val="2AF552B4"/>
    <w:rsid w:val="2BFF2D7E"/>
    <w:rsid w:val="2D3E0DCC"/>
    <w:rsid w:val="2D6A4A87"/>
    <w:rsid w:val="2DC7541F"/>
    <w:rsid w:val="2DD55A32"/>
    <w:rsid w:val="2E243CBA"/>
    <w:rsid w:val="2E5C724A"/>
    <w:rsid w:val="2E620EB2"/>
    <w:rsid w:val="2EE24EBD"/>
    <w:rsid w:val="2FBC6DA7"/>
    <w:rsid w:val="2FD02AB3"/>
    <w:rsid w:val="30CB352B"/>
    <w:rsid w:val="30E66744"/>
    <w:rsid w:val="31B92B8B"/>
    <w:rsid w:val="3390372F"/>
    <w:rsid w:val="33F11A54"/>
    <w:rsid w:val="343706EB"/>
    <w:rsid w:val="352B4C2C"/>
    <w:rsid w:val="35556D3E"/>
    <w:rsid w:val="35E6061B"/>
    <w:rsid w:val="36750FCA"/>
    <w:rsid w:val="367B5207"/>
    <w:rsid w:val="37111565"/>
    <w:rsid w:val="37CF1C23"/>
    <w:rsid w:val="387009C5"/>
    <w:rsid w:val="388724AA"/>
    <w:rsid w:val="394748FE"/>
    <w:rsid w:val="39924689"/>
    <w:rsid w:val="39C5711A"/>
    <w:rsid w:val="39DD195D"/>
    <w:rsid w:val="3A347D5A"/>
    <w:rsid w:val="3A374274"/>
    <w:rsid w:val="3B4EB73D"/>
    <w:rsid w:val="3CFD4BC8"/>
    <w:rsid w:val="3D7E61F0"/>
    <w:rsid w:val="3DCB71D3"/>
    <w:rsid w:val="3E0C2FCD"/>
    <w:rsid w:val="3E7167B7"/>
    <w:rsid w:val="3E733196"/>
    <w:rsid w:val="3F2E34FD"/>
    <w:rsid w:val="3F5B1078"/>
    <w:rsid w:val="41C56AE7"/>
    <w:rsid w:val="44604B4B"/>
    <w:rsid w:val="44CD49E0"/>
    <w:rsid w:val="44D3620E"/>
    <w:rsid w:val="45057278"/>
    <w:rsid w:val="45222FEE"/>
    <w:rsid w:val="456606EF"/>
    <w:rsid w:val="45752376"/>
    <w:rsid w:val="463D0684"/>
    <w:rsid w:val="468119E8"/>
    <w:rsid w:val="487D33CF"/>
    <w:rsid w:val="48945CB4"/>
    <w:rsid w:val="4AE7501F"/>
    <w:rsid w:val="4BF673A4"/>
    <w:rsid w:val="4CC90714"/>
    <w:rsid w:val="4CF4811B"/>
    <w:rsid w:val="4D144A97"/>
    <w:rsid w:val="4D58B1EE"/>
    <w:rsid w:val="4DA34F38"/>
    <w:rsid w:val="4E688D3F"/>
    <w:rsid w:val="4F484D03"/>
    <w:rsid w:val="51BC0040"/>
    <w:rsid w:val="52521775"/>
    <w:rsid w:val="53CE7F9E"/>
    <w:rsid w:val="54AB6860"/>
    <w:rsid w:val="56A641D2"/>
    <w:rsid w:val="56C4B182"/>
    <w:rsid w:val="57160908"/>
    <w:rsid w:val="574F20E5"/>
    <w:rsid w:val="57865553"/>
    <w:rsid w:val="58415EB1"/>
    <w:rsid w:val="58CD6043"/>
    <w:rsid w:val="593740D0"/>
    <w:rsid w:val="59C3875F"/>
    <w:rsid w:val="59F26E37"/>
    <w:rsid w:val="5ADC59C5"/>
    <w:rsid w:val="5B1C2265"/>
    <w:rsid w:val="5B3C4A21"/>
    <w:rsid w:val="5BBE331C"/>
    <w:rsid w:val="5DA06CA0"/>
    <w:rsid w:val="5EB95FC1"/>
    <w:rsid w:val="5ED32983"/>
    <w:rsid w:val="5F19481B"/>
    <w:rsid w:val="5F251F4C"/>
    <w:rsid w:val="5F991AD1"/>
    <w:rsid w:val="600BACD0"/>
    <w:rsid w:val="61025870"/>
    <w:rsid w:val="615B2711"/>
    <w:rsid w:val="62486A56"/>
    <w:rsid w:val="62FE1D0C"/>
    <w:rsid w:val="638F10C5"/>
    <w:rsid w:val="645390CB"/>
    <w:rsid w:val="64BC3905"/>
    <w:rsid w:val="64BE25DF"/>
    <w:rsid w:val="650224CC"/>
    <w:rsid w:val="669B46FA"/>
    <w:rsid w:val="66BD7ED9"/>
    <w:rsid w:val="67957627"/>
    <w:rsid w:val="689F1634"/>
    <w:rsid w:val="6984AC29"/>
    <w:rsid w:val="699F62C8"/>
    <w:rsid w:val="69E623BC"/>
    <w:rsid w:val="6A5937C3"/>
    <w:rsid w:val="6A794491"/>
    <w:rsid w:val="6AA84AAF"/>
    <w:rsid w:val="6B1747F7"/>
    <w:rsid w:val="6B7C66BB"/>
    <w:rsid w:val="6C5117E7"/>
    <w:rsid w:val="6DD44CBE"/>
    <w:rsid w:val="6DE45187"/>
    <w:rsid w:val="6E9B4AF8"/>
    <w:rsid w:val="6F2DCDBF"/>
    <w:rsid w:val="6F334825"/>
    <w:rsid w:val="6FF1DE50"/>
    <w:rsid w:val="705D4F4F"/>
    <w:rsid w:val="70626A59"/>
    <w:rsid w:val="70661847"/>
    <w:rsid w:val="70665F5B"/>
    <w:rsid w:val="70795A7E"/>
    <w:rsid w:val="712F0C92"/>
    <w:rsid w:val="73442398"/>
    <w:rsid w:val="734E92DB"/>
    <w:rsid w:val="736A60D5"/>
    <w:rsid w:val="736D08BC"/>
    <w:rsid w:val="73AD3F4B"/>
    <w:rsid w:val="74751CD2"/>
    <w:rsid w:val="7512B24F"/>
    <w:rsid w:val="753D0121"/>
    <w:rsid w:val="765E32DA"/>
    <w:rsid w:val="766B6B67"/>
    <w:rsid w:val="76F123A0"/>
    <w:rsid w:val="772324C5"/>
    <w:rsid w:val="790E62D1"/>
    <w:rsid w:val="796162F2"/>
    <w:rsid w:val="79905EA0"/>
    <w:rsid w:val="7A6C39F7"/>
    <w:rsid w:val="7AAA3570"/>
    <w:rsid w:val="7AD17C0A"/>
    <w:rsid w:val="7B644EB3"/>
    <w:rsid w:val="7C5232BC"/>
    <w:rsid w:val="7DEC1BF7"/>
    <w:rsid w:val="7DF75C02"/>
    <w:rsid w:val="7F64752D"/>
    <w:rsid w:val="86858C31"/>
    <w:rsid w:val="8E04678C"/>
    <w:rsid w:val="8F5FDD30"/>
    <w:rsid w:val="8FC4CA7E"/>
    <w:rsid w:val="92D04097"/>
    <w:rsid w:val="97006194"/>
    <w:rsid w:val="979DDDD4"/>
    <w:rsid w:val="A664DBED"/>
    <w:rsid w:val="B15C4454"/>
    <w:rsid w:val="B802294B"/>
    <w:rsid w:val="CB126221"/>
    <w:rsid w:val="CC030370"/>
    <w:rsid w:val="CC70B200"/>
    <w:rsid w:val="D1277365"/>
    <w:rsid w:val="D2B89D44"/>
    <w:rsid w:val="D4E24DC6"/>
    <w:rsid w:val="D52DFC7B"/>
    <w:rsid w:val="E4F77385"/>
    <w:rsid w:val="E6862EAB"/>
    <w:rsid w:val="E6A9EF47"/>
    <w:rsid w:val="E9BADB65"/>
    <w:rsid w:val="EF90E004"/>
    <w:rsid w:val="F35DE0D3"/>
    <w:rsid w:val="F5C9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1" w:firstLineChars="200"/>
    </w:pPr>
    <w:rPr>
      <w:rFonts w:ascii="Times New Roman" w:hAnsi="Times New Roman" w:eastAsia="微软雅黑" w:cs="宋体"/>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Date1"/>
    <w:basedOn w:val="1"/>
    <w:next w:val="1"/>
    <w:qFormat/>
    <w:uiPriority w:val="0"/>
    <w:pPr>
      <w:adjustRightInd w:val="0"/>
      <w:textAlignment w:val="baseline"/>
    </w:pPr>
    <w:rPr>
      <w:rFonts w:ascii="宋体" w:hAnsi="宋体"/>
      <w:sz w:val="28"/>
    </w:rPr>
  </w:style>
  <w:style w:type="paragraph" w:styleId="4">
    <w:name w:val="Body Text Indent 2"/>
    <w:basedOn w:val="1"/>
    <w:next w:val="1"/>
    <w:qFormat/>
    <w:uiPriority w:val="0"/>
    <w:pPr>
      <w:spacing w:after="120" w:line="480" w:lineRule="auto"/>
      <w:ind w:left="420" w:leftChars="200"/>
    </w:pPr>
    <w:rPr>
      <w:rFonts w:eastAsia="宋体"/>
      <w:szCs w:val="24"/>
    </w:rPr>
  </w:style>
  <w:style w:type="paragraph" w:styleId="5">
    <w:name w:val="footer"/>
    <w:basedOn w:val="1"/>
    <w:link w:val="14"/>
    <w:qFormat/>
    <w:uiPriority w:val="0"/>
    <w:pPr>
      <w:tabs>
        <w:tab w:val="center" w:pos="4153"/>
        <w:tab w:val="right" w:pos="8306"/>
      </w:tabs>
      <w:snapToGrid w:val="0"/>
    </w:pPr>
    <w:rPr>
      <w:rFonts w:ascii="Calibri" w:hAnsi="Calibri"/>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Normal (Web)"/>
    <w:basedOn w:val="1"/>
    <w:qFormat/>
    <w:uiPriority w:val="0"/>
    <w:pPr>
      <w:spacing w:before="100" w:beforeAutospacing="1" w:after="100" w:afterAutospacing="1"/>
    </w:pPr>
    <w:rPr>
      <w:rFonts w:ascii="Calibri" w:hAnsi="Calibri" w:cs="Times New Roman"/>
      <w:sz w:val="24"/>
    </w:rPr>
  </w:style>
  <w:style w:type="character" w:styleId="10">
    <w:name w:val="Hyperlink"/>
    <w:basedOn w:val="9"/>
    <w:qFormat/>
    <w:uiPriority w:val="0"/>
    <w:rPr>
      <w:color w:val="0000FF"/>
      <w:u w:val="single"/>
    </w:rPr>
  </w:style>
  <w:style w:type="paragraph" w:customStyle="1" w:styleId="11">
    <w:name w:val="xl27"/>
    <w:basedOn w:val="1"/>
    <w:next w:val="4"/>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rPr>
  </w:style>
  <w:style w:type="paragraph" w:customStyle="1" w:styleId="12">
    <w:name w:val="Default2"/>
    <w:next w:val="13"/>
    <w:qFormat/>
    <w:uiPriority w:val="0"/>
    <w:pPr>
      <w:widowControl w:val="0"/>
      <w:autoSpaceDE w:val="0"/>
      <w:autoSpaceDN w:val="0"/>
      <w:adjustRightInd w:val="0"/>
    </w:pPr>
    <w:rPr>
      <w:rFonts w:ascii="黑体" w:hAnsi="Times New Roman" w:eastAsia="Times New Roman" w:cs="黑体"/>
      <w:color w:val="000000"/>
      <w:sz w:val="24"/>
      <w:szCs w:val="24"/>
      <w:lang w:val="en-US" w:eastAsia="zh-TW" w:bidi="ar-SA"/>
    </w:rPr>
  </w:style>
  <w:style w:type="paragraph" w:customStyle="1" w:styleId="13">
    <w:name w:val="目录 91662"/>
    <w:next w:val="1"/>
    <w:qFormat/>
    <w:uiPriority w:val="0"/>
    <w:pPr>
      <w:wordWrap w:val="0"/>
      <w:ind w:left="2975"/>
      <w:jc w:val="both"/>
    </w:pPr>
    <w:rPr>
      <w:rFonts w:ascii="Times New Roman" w:hAnsi="Times New Roman" w:eastAsia="宋体" w:cs="Times New Roman"/>
      <w:sz w:val="21"/>
      <w:lang w:val="en-US" w:eastAsia="zh-CN" w:bidi="ar-SA"/>
    </w:rPr>
  </w:style>
  <w:style w:type="character" w:customStyle="1" w:styleId="14">
    <w:name w:val="页脚 Char"/>
    <w:link w:val="5"/>
    <w:qFormat/>
    <w:uiPriority w:val="0"/>
    <w:rPr>
      <w:rFonts w:ascii="Calibri" w:hAnsi="Calibri" w:eastAsia="微软雅黑" w:cs="宋体"/>
      <w:sz w:val="18"/>
      <w:szCs w:val="18"/>
    </w:rPr>
  </w:style>
  <w:style w:type="character" w:customStyle="1" w:styleId="15">
    <w:name w:val="页眉 Char"/>
    <w:link w:val="6"/>
    <w:qFormat/>
    <w:uiPriority w:val="0"/>
    <w:rPr>
      <w:rFonts w:ascii="Calibri" w:hAnsi="Calibri" w:eastAsia="微软雅黑" w:cs="宋体"/>
      <w:sz w:val="18"/>
      <w:szCs w:val="18"/>
    </w:rPr>
  </w:style>
  <w:style w:type="paragraph" w:customStyle="1" w:styleId="16">
    <w:name w:val="0"/>
    <w:basedOn w:val="1"/>
    <w:qFormat/>
    <w:uiPriority w:val="0"/>
    <w:pPr>
      <w:widowControl/>
      <w:snapToGrid w:val="0"/>
      <w:spacing w:line="365" w:lineRule="atLeast"/>
      <w:ind w:left="1"/>
      <w:textAlignment w:val="bottom"/>
    </w:pPr>
    <w:rPr>
      <w:rFonts w:ascii="Calibri" w:hAnsi="Calibri"/>
    </w:rPr>
  </w:style>
  <w:style w:type="paragraph" w:customStyle="1" w:styleId="17">
    <w:name w:val="表格内容"/>
    <w:basedOn w:val="1"/>
    <w:qFormat/>
    <w:uiPriority w:val="0"/>
    <w:pPr>
      <w:autoSpaceDE w:val="0"/>
      <w:autoSpaceDN w:val="0"/>
      <w:adjustRightInd w:val="0"/>
      <w:spacing w:line="360" w:lineRule="auto"/>
      <w:ind w:firstLine="0" w:firstLineChars="0"/>
      <w:jc w:val="center"/>
      <w:textAlignment w:val="baseline"/>
    </w:pPr>
    <w:rPr>
      <w:rFonts w:ascii="Calibri" w:hAnsi="Calibri"/>
      <w:color w:val="000000"/>
      <w:sz w:val="21"/>
      <w:szCs w:val="21"/>
    </w:rPr>
  </w:style>
  <w:style w:type="paragraph" w:customStyle="1" w:styleId="18">
    <w:name w:val="WPS Plain"/>
    <w:qFormat/>
    <w:uiPriority w:val="0"/>
    <w:rPr>
      <w:rFonts w:ascii="Times New Roman" w:hAnsi="Times New Roman" w:eastAsia="微软雅黑" w:cs="宋体"/>
      <w:lang w:val="en-US" w:eastAsia="zh-CN" w:bidi="ar-SA"/>
    </w:rPr>
  </w:style>
  <w:style w:type="paragraph" w:customStyle="1" w:styleId="19">
    <w:name w:val="T正文"/>
    <w:basedOn w:val="1"/>
    <w:qFormat/>
    <w:uiPriority w:val="0"/>
    <w:pPr>
      <w:spacing w:line="440" w:lineRule="exact"/>
      <w:ind w:firstLine="600"/>
      <w:jc w:val="both"/>
    </w:pPr>
    <w:rPr>
      <w:color w:val="F79646"/>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6</Pages>
  <Words>3411</Words>
  <Characters>3748</Characters>
  <Lines>29</Lines>
  <Paragraphs>8</Paragraphs>
  <TotalTime>43</TotalTime>
  <ScaleCrop>false</ScaleCrop>
  <LinksUpToDate>false</LinksUpToDate>
  <CharactersWithSpaces>3865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2022-09-28T07:48:00Z</dcterms:created>
  <dc:creator>微软用户</dc:creator>
  <cp:lastModifiedBy>Administrator</cp:lastModifiedBy>
  <cp:lastPrinted>2022-07-22T14:58:00Z</cp:lastPrinted>
  <dcterms:modified xsi:type="dcterms:W3CDTF">2022-10-17T03:39:04Z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97343C73324B40E68425885D0C3219E0</vt:lpwstr>
  </property>
</Properties>
</file>