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insoku w:val="0"/>
        <w:wordWrap w:val="0"/>
        <w:topLinePunct/>
        <w:spacing w:line="500" w:lineRule="exact"/>
        <w:rPr>
          <w:rFonts w:ascii="仿宋" w:hAnsi="仿宋" w:eastAsia="仿宋" w:cs="仿宋"/>
          <w:b/>
          <w:color w:val="auto"/>
          <w:kern w:val="2"/>
        </w:rPr>
      </w:pPr>
    </w:p>
    <w:p>
      <w:pPr>
        <w:pStyle w:val="18"/>
        <w:kinsoku w:val="0"/>
        <w:wordWrap w:val="0"/>
        <w:topLinePunct/>
        <w:spacing w:line="500" w:lineRule="exact"/>
        <w:rPr>
          <w:rFonts w:ascii="仿宋" w:hAnsi="仿宋" w:eastAsia="仿宋" w:cs="仿宋"/>
          <w:b/>
          <w:color w:val="auto"/>
          <w:kern w:val="2"/>
        </w:rPr>
      </w:pPr>
    </w:p>
    <w:p>
      <w:pPr>
        <w:pStyle w:val="18"/>
        <w:kinsoku w:val="0"/>
        <w:wordWrap w:val="0"/>
        <w:topLinePunct/>
        <w:spacing w:afterLines="50" w:line="500" w:lineRule="exact"/>
        <w:rPr>
          <w:rFonts w:ascii="仿宋" w:hAnsi="仿宋" w:eastAsia="仿宋" w:cs="仿宋"/>
          <w:b/>
          <w:color w:val="auto"/>
          <w:kern w:val="2"/>
        </w:rPr>
      </w:pPr>
    </w:p>
    <w:p>
      <w:pPr>
        <w:pStyle w:val="18"/>
        <w:kinsoku w:val="0"/>
        <w:wordWrap w:val="0"/>
        <w:topLinePunct/>
        <w:spacing w:line="500" w:lineRule="exact"/>
        <w:rPr>
          <w:rFonts w:ascii="仿宋" w:hAnsi="仿宋" w:eastAsia="仿宋" w:cs="仿宋"/>
          <w:b/>
          <w:color w:val="auto"/>
          <w:kern w:val="2"/>
        </w:rPr>
      </w:pPr>
    </w:p>
    <w:p>
      <w:pPr>
        <w:pStyle w:val="18"/>
        <w:kinsoku w:val="0"/>
        <w:wordWrap w:val="0"/>
        <w:topLinePunct/>
        <w:spacing w:line="500" w:lineRule="exact"/>
        <w:ind w:right="320"/>
        <w:jc w:val="right"/>
        <w:rPr>
          <w:rFonts w:ascii="仿宋" w:hAnsi="仿宋" w:eastAsia="仿宋" w:cs="仿宋"/>
          <w:b/>
          <w:color w:val="auto"/>
          <w:kern w:val="2"/>
          <w:sz w:val="30"/>
          <w:szCs w:val="30"/>
        </w:rPr>
      </w:pPr>
      <w:r>
        <w:rPr>
          <w:rFonts w:hint="eastAsia" w:ascii="仿宋" w:hAnsi="仿宋" w:eastAsia="仿宋" w:cs="仿宋"/>
          <w:color w:val="auto"/>
          <w:sz w:val="30"/>
          <w:szCs w:val="30"/>
        </w:rPr>
        <w:t xml:space="preserve">    岳环评〔2022〕</w:t>
      </w:r>
      <w:r>
        <w:rPr>
          <w:rFonts w:hint="eastAsia" w:ascii="仿宋" w:hAnsi="仿宋" w:eastAsia="仿宋" w:cs="仿宋"/>
          <w:color w:val="auto"/>
          <w:sz w:val="30"/>
          <w:szCs w:val="30"/>
          <w:lang w:val="en-US" w:eastAsia="zh-CN"/>
        </w:rPr>
        <w:t>65</w:t>
      </w:r>
      <w:r>
        <w:rPr>
          <w:rFonts w:hint="eastAsia" w:ascii="仿宋" w:hAnsi="仿宋" w:eastAsia="仿宋" w:cs="仿宋"/>
          <w:color w:val="auto"/>
          <w:sz w:val="30"/>
          <w:szCs w:val="30"/>
        </w:rPr>
        <w:t>号</w:t>
      </w:r>
    </w:p>
    <w:p>
      <w:pPr>
        <w:widowControl/>
        <w:kinsoku w:val="0"/>
        <w:topLinePunct/>
        <w:spacing w:line="500" w:lineRule="exact"/>
        <w:ind w:firstLine="480"/>
        <w:jc w:val="center"/>
        <w:rPr>
          <w:rFonts w:ascii="仿宋" w:hAnsi="仿宋" w:eastAsia="仿宋" w:cs="仿宋"/>
          <w:b/>
          <w:color w:val="auto"/>
          <w:sz w:val="36"/>
          <w:szCs w:val="36"/>
        </w:rPr>
      </w:pPr>
      <w:r>
        <w:rPr>
          <w:rFonts w:hint="eastAsia" w:ascii="仿宋" w:hAnsi="仿宋" w:eastAsia="仿宋" w:cs="仿宋"/>
          <w:b/>
          <w:color w:val="auto"/>
          <w:kern w:val="0"/>
          <w:sz w:val="36"/>
          <w:szCs w:val="36"/>
        </w:rPr>
        <w:t>关于</w:t>
      </w:r>
      <w:r>
        <w:rPr>
          <w:rFonts w:hint="eastAsia" w:ascii="仿宋" w:hAnsi="仿宋" w:eastAsia="仿宋" w:cs="仿宋"/>
          <w:b/>
          <w:color w:val="auto"/>
          <w:sz w:val="36"/>
          <w:szCs w:val="36"/>
        </w:rPr>
        <w:t>湖南德科纺织印染有限公司汨纺货运码头提质改造工程</w:t>
      </w:r>
      <w:r>
        <w:rPr>
          <w:rFonts w:hint="eastAsia" w:ascii="仿宋" w:hAnsi="仿宋" w:eastAsia="仿宋" w:cs="仿宋"/>
          <w:b/>
          <w:color w:val="auto"/>
          <w:kern w:val="0"/>
          <w:sz w:val="36"/>
          <w:szCs w:val="36"/>
        </w:rPr>
        <w:t>环境影响报告书的批复</w:t>
      </w:r>
    </w:p>
    <w:p>
      <w:pPr>
        <w:pStyle w:val="20"/>
        <w:kinsoku w:val="0"/>
        <w:wordWrap w:val="0"/>
        <w:topLinePunct/>
        <w:spacing w:line="500" w:lineRule="exact"/>
        <w:jc w:val="center"/>
        <w:rPr>
          <w:rFonts w:ascii="仿宋" w:hAnsi="仿宋" w:eastAsia="仿宋" w:cs="仿宋"/>
          <w:b/>
          <w:color w:val="auto"/>
          <w:kern w:val="2"/>
          <w:sz w:val="32"/>
          <w:szCs w:val="32"/>
        </w:rPr>
      </w:pPr>
    </w:p>
    <w:p>
      <w:pPr>
        <w:keepNext w:val="0"/>
        <w:keepLines w:val="0"/>
        <w:pageBreakBefore w:val="0"/>
        <w:widowControl/>
        <w:kinsoku w:val="0"/>
        <w:overflowPunct/>
        <w:topLinePunct/>
        <w:autoSpaceDE/>
        <w:autoSpaceDN/>
        <w:bidi w:val="0"/>
        <w:spacing w:line="460" w:lineRule="exact"/>
        <w:jc w:val="left"/>
        <w:rPr>
          <w:rFonts w:ascii="仿宋" w:hAnsi="仿宋" w:eastAsia="仿宋" w:cs="仿宋"/>
          <w:color w:val="auto"/>
          <w:sz w:val="32"/>
          <w:szCs w:val="32"/>
        </w:rPr>
      </w:pPr>
      <w:r>
        <w:rPr>
          <w:rFonts w:hint="eastAsia" w:ascii="仿宋" w:hAnsi="仿宋" w:eastAsia="仿宋" w:cs="仿宋"/>
          <w:color w:val="auto"/>
          <w:sz w:val="32"/>
          <w:szCs w:val="32"/>
        </w:rPr>
        <w:t>湖南德科纺织印染有限公司：</w:t>
      </w:r>
    </w:p>
    <w:p>
      <w:pPr>
        <w:keepNext w:val="0"/>
        <w:keepLines w:val="0"/>
        <w:pageBreakBefore w:val="0"/>
        <w:kinsoku w:val="0"/>
        <w:wordWrap w:val="0"/>
        <w:overflowPunct/>
        <w:topLinePunct/>
        <w:autoSpaceDE/>
        <w:autoSpaceDN/>
        <w:bidi w:val="0"/>
        <w:adjustRightInd w:val="0"/>
        <w:snapToGrid w:val="0"/>
        <w:spacing w:line="4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你公司《关于申请办理&lt;湖南德科纺织印染有限公司汨纺货运码头提质改造工程&gt;环评审批手续的报告》、岳阳市生态环境事务中心《汨纺货运码头提质改造工程项目环境影响报告书技术评估报告》（岳环事评估〔2022〕35号）、岳阳市生态环境局屈原分局预审意见及有关附件收悉。经研究，批复如下：</w:t>
      </w:r>
    </w:p>
    <w:p>
      <w:pPr>
        <w:pStyle w:val="28"/>
        <w:keepNext w:val="0"/>
        <w:keepLines w:val="0"/>
        <w:pageBreakBefore w:val="0"/>
        <w:kinsoku w:val="0"/>
        <w:overflowPunct/>
        <w:topLinePunct/>
        <w:autoSpaceDE/>
        <w:autoSpaceDN/>
        <w:bidi w:val="0"/>
        <w:spacing w:line="4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一、湖南德科纺织印染有限公司汨纺货运码头提质改造工程位于岳阳市屈原管理区德科工业园，占地面积约</w:t>
      </w:r>
      <w:r>
        <w:rPr>
          <w:rStyle w:val="27"/>
          <w:rFonts w:hint="eastAsia" w:ascii="仿宋" w:hAnsi="仿宋" w:eastAsia="仿宋" w:cs="仿宋"/>
          <w:color w:val="auto"/>
          <w:sz w:val="32"/>
          <w:szCs w:val="32"/>
        </w:rPr>
        <w:t>0.0035km</w:t>
      </w:r>
      <w:r>
        <w:rPr>
          <w:rStyle w:val="27"/>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w:t>
      </w:r>
      <w:r>
        <w:rPr>
          <w:rFonts w:hint="eastAsia" w:ascii="仿宋" w:hAnsi="仿宋" w:eastAsia="仿宋" w:cs="仿宋"/>
          <w:bCs/>
          <w:color w:val="auto"/>
          <w:sz w:val="32"/>
          <w:szCs w:val="32"/>
        </w:rPr>
        <w:t>总</w:t>
      </w:r>
      <w:r>
        <w:rPr>
          <w:rFonts w:hint="eastAsia" w:ascii="仿宋" w:hAnsi="仿宋" w:eastAsia="仿宋" w:cs="仿宋"/>
          <w:color w:val="auto"/>
          <w:sz w:val="32"/>
          <w:szCs w:val="32"/>
        </w:rPr>
        <w:t>投资2442.25万元，环保投资361万元。汨纺货运码头始建于上世纪七十年代，共建有一个出口棉花、布匹的件杂货泊位，设有1个长度约174.4m，宽10m的实体斜坡道和斜坡道上游港池，现有岸线长度80m，停靠船舶主要为件杂货船，货船进入港池后沿斜坡道顺靠；斜坡道表面为混凝土结构，总体情况良好，路面有破损，斜坡道上游港池宽约30m，淤积较严重，仅洪水位时可用于船舶靠泊，码头前沿未设置固定的装卸设备，件杂货采用汽车吊装卸，采用平板车进行水平运输。为有效提升港口、码头防污染能力，推进绿色港口、码头建设，且在《湖南省交通运输厅关于将汨纺货运码头纳入规范提升类码头意见的函》（湘交函[2021]370号）中属于规范提升类非法码头，需按《关于明确湘江码头整治规范提升标准的通知》（岳地海[2020]80号）进行提质改造工作，故现拟对码头进行提质改造。主要建设内容：将原有10m宽的斜坡道扩宽至20m，相应的作业点安装DA-A400H橡胶护舷供浮吊趸船停靠，并斜坡道上每隔20m布置一个系船柱供货船系缆，对码头前235m×46.4m范围内进行开挖，河底高程根据码头船舶水平作业平台分别设置为15.11m和21.80m，码头前沿46.4m以外以1:3坡度比与原有地面衔接，并对放坡范围内进行生态复绿，以及配套建设辅助工程和环保工程；供电、供水依托现有。提质改造完成后斜坡道总长约174.26m，宽20m，斜坡道顶部高程和末端高程保持现状高程不变，分别为33.5m和为25.5m；占用岸线66.4m，占用面积3989.2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建设1个3000吨级趸船码头泊位（42m×14m×2.2m钢制趸船+5t-20m浮式起重机），本项目不设物料堆场和固定办公楼。服务对象为湖南德科纺织印染有限公司，负责棉花、纤维、布匹等件杂货的进出口作业，趸船上设5t-20m浮式起重机1台，用于接卸件杂货。设计吞吐量为5.5万吨/年（其中件杂货进口3万吨/年，件杂货出口2.5万吨/年）；到港棉花、纤维、布匹等件杂货由浮式起重卸料至载重汽车，运往货主仓库。根据湖南道和环保科技有限公司编制的《湖南德科纺织印染有限公司汨纺货运码头提质改造工程环境影响报告书》（报批稿）基本内容、结论和专家评审意见及岳阳市生态环境局汩罗分局预审意见，综合考虑，我局原则同意你公司环境影响报告书中所列建设项目的环境影响评价结论和环境保护对策措施。</w:t>
      </w:r>
    </w:p>
    <w:p>
      <w:pPr>
        <w:keepNext w:val="0"/>
        <w:keepLines w:val="0"/>
        <w:pageBreakBefore w:val="0"/>
        <w:kinsoku w:val="0"/>
        <w:wordWrap w:val="0"/>
        <w:overflowPunct/>
        <w:topLinePunct/>
        <w:autoSpaceDE/>
        <w:autoSpaceDN/>
        <w:bidi w:val="0"/>
        <w:adjustRightInd w:val="0"/>
        <w:snapToGrid w:val="0"/>
        <w:spacing w:line="4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二、项目建设和运营必须全面落实环境影响报告书提出的各项环保措施，并着重做好以下工作：</w:t>
      </w:r>
    </w:p>
    <w:p>
      <w:pPr>
        <w:keepNext w:val="0"/>
        <w:keepLines w:val="0"/>
        <w:pageBreakBefore w:val="0"/>
        <w:kinsoku w:val="0"/>
        <w:overflowPunct/>
        <w:topLinePunct/>
        <w:autoSpaceDE/>
        <w:autoSpaceDN/>
        <w:bidi w:val="0"/>
        <w:spacing w:line="4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重点加强施工期环境管理。落实报告书提出的施工期保护措施，科学实施清淤等涉水施工，合理安排水下施工时间和施工工艺，减少涉水施工对水体的扰动和对水生生态的影响。施工现场采取围挡、减少建筑材料堆存、物料覆盖、道路硬化及洒水、使用商品混凝土等措施减少大气影响。生活污水经化粪池处理后排入市政污水管网、船舶生活污水和含油废水经船主收集送有资质单位收集并负责处理；施工废水及施工机械冲洗废水经隔油池、沉淀池处理后回用，不外排。通过采用低噪声设备，设置围挡、加强现场管理及机械设备的维修等措施确保施工期间的厂界噪声满足《建筑施工场界环境噪声排放标准》（GB12523-2011）相关标准要求。实体斜坡道建筑垃圾，可利用部分用于岸坡修整回填土，不可利用部分与清淤弃方</w:t>
      </w:r>
      <w:r>
        <w:rPr>
          <w:rFonts w:hint="eastAsia" w:ascii="仿宋" w:hAnsi="仿宋" w:eastAsia="仿宋" w:cs="仿宋"/>
          <w:bCs/>
          <w:color w:val="auto"/>
          <w:sz w:val="32"/>
          <w:szCs w:val="32"/>
        </w:rPr>
        <w:t>经岳阳市屈原管理区城市管理和综合执法局进行调配，由专业渣土运输单位转运至岳阳市屈原管理区城市管理和综合执法局指定地点综合利用，</w:t>
      </w:r>
      <w:r>
        <w:rPr>
          <w:rFonts w:hint="eastAsia" w:ascii="仿宋" w:hAnsi="仿宋" w:eastAsia="仿宋" w:cs="仿宋"/>
          <w:color w:val="auto"/>
          <w:sz w:val="32"/>
          <w:szCs w:val="32"/>
        </w:rPr>
        <w:t>陆域生活垃圾由环卫部门收集处理，船舶生活垃圾由施工单位负责交具有专业资质的接收船接收处理。</w:t>
      </w:r>
    </w:p>
    <w:p>
      <w:pPr>
        <w:keepNext w:val="0"/>
        <w:keepLines w:val="0"/>
        <w:pageBreakBefore w:val="0"/>
        <w:kinsoku w:val="0"/>
        <w:wordWrap w:val="0"/>
        <w:overflowPunct/>
        <w:topLinePunct/>
        <w:autoSpaceDE/>
        <w:autoSpaceDN/>
        <w:bidi w:val="0"/>
        <w:spacing w:line="460" w:lineRule="exact"/>
        <w:ind w:firstLine="640" w:firstLineChars="200"/>
        <w:rPr>
          <w:rFonts w:ascii="仿宋" w:hAnsi="仿宋" w:eastAsia="仿宋" w:cs="仿宋"/>
          <w:color w:val="auto"/>
          <w:sz w:val="32"/>
          <w:szCs w:val="32"/>
          <w:highlight w:val="yellow"/>
        </w:rPr>
      </w:pPr>
      <w:r>
        <w:rPr>
          <w:rFonts w:hint="eastAsia" w:ascii="仿宋" w:hAnsi="仿宋" w:eastAsia="仿宋" w:cs="仿宋"/>
          <w:color w:val="auto"/>
          <w:sz w:val="32"/>
          <w:szCs w:val="32"/>
        </w:rPr>
        <w:t>(二)营运期废气污染防治工作。严格落实报告书提出的废气防治措施，通过路面清扫、雾炮机喷水加湿、到港船舶采用岸电、使用催化燃烧净化过滤器和无铅化、环保型燃料等措施，确保码头厂界无组织废气满足《大气污染物综合排放标准》（GB16297-1996）表2中无组织排放监控浓度限值要求；保证到港船舶为合格并已在地方海事局备案的船只，船舶尾气执行《船舶发动机排气污染物排放限值及测量方法（中国第一、二阶段）》（GB15097-2016）标准</w:t>
      </w:r>
      <w:r>
        <w:rPr>
          <w:rStyle w:val="27"/>
          <w:rFonts w:hint="eastAsia" w:ascii="仿宋" w:hAnsi="仿宋" w:eastAsia="仿宋" w:cs="仿宋"/>
          <w:color w:val="auto"/>
          <w:sz w:val="32"/>
          <w:szCs w:val="32"/>
        </w:rPr>
        <w:t>。</w:t>
      </w:r>
    </w:p>
    <w:p>
      <w:pPr>
        <w:pStyle w:val="28"/>
        <w:keepNext w:val="0"/>
        <w:keepLines w:val="0"/>
        <w:pageBreakBefore w:val="0"/>
        <w:kinsoku w:val="0"/>
        <w:overflowPunct/>
        <w:topLinePunct/>
        <w:autoSpaceDE/>
        <w:autoSpaceDN/>
        <w:bidi w:val="0"/>
        <w:spacing w:line="4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(三)营运期废水污染防治工作。港区区域严格落实雨污分流，码头员工生活污水、到港船舶生活污水经趸船生活污水箱收集处理，</w:t>
      </w:r>
      <w:r>
        <w:rPr>
          <w:rFonts w:hint="eastAsia" w:ascii="仿宋" w:hAnsi="仿宋" w:eastAsia="仿宋" w:cs="仿宋"/>
          <w:color w:val="auto"/>
          <w:spacing w:val="4"/>
          <w:sz w:val="32"/>
          <w:szCs w:val="32"/>
        </w:rPr>
        <w:t>初期雨水经初期雨水收集池沉淀后</w:t>
      </w:r>
      <w:r>
        <w:rPr>
          <w:rFonts w:hint="eastAsia" w:ascii="仿宋" w:hAnsi="仿宋" w:eastAsia="仿宋" w:cs="仿宋"/>
          <w:color w:val="auto"/>
          <w:sz w:val="32"/>
          <w:szCs w:val="32"/>
        </w:rPr>
        <w:t>达到《污水综合排放标准》（GB8978-1996）中表4三级标准后接入市政污水管网，进入屈原管理区污水处理厂处理；船舶含油废水由趸船含油污水箱收集后由具有专业资质的接收船接收</w:t>
      </w:r>
      <w:r>
        <w:rPr>
          <w:rFonts w:hint="eastAsia" w:ascii="仿宋" w:hAnsi="仿宋" w:eastAsia="仿宋" w:cs="仿宋"/>
          <w:color w:val="auto"/>
          <w:spacing w:val="4"/>
          <w:sz w:val="32"/>
          <w:szCs w:val="32"/>
        </w:rPr>
        <w:t>。船舶废水执行《船舶水污染物排放标准》（GB3552-2018）；</w:t>
      </w:r>
      <w:r>
        <w:rPr>
          <w:rFonts w:hint="eastAsia" w:ascii="仿宋" w:hAnsi="仿宋" w:eastAsia="仿宋" w:cs="仿宋"/>
          <w:color w:val="auto"/>
          <w:sz w:val="32"/>
          <w:szCs w:val="32"/>
        </w:rPr>
        <w:t>按要求做好生活垃圾箱、危废暂存间的防渗、防漏工作，防止对地下水造成污染。</w:t>
      </w:r>
    </w:p>
    <w:p>
      <w:pPr>
        <w:keepNext w:val="0"/>
        <w:keepLines w:val="0"/>
        <w:pageBreakBefore w:val="0"/>
        <w:kinsoku w:val="0"/>
        <w:wordWrap w:val="0"/>
        <w:overflowPunct/>
        <w:topLinePunct/>
        <w:autoSpaceDE/>
        <w:autoSpaceDN/>
        <w:bidi w:val="0"/>
        <w:adjustRightInd w:val="0"/>
        <w:spacing w:line="4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四)营运期噪声防治工作。采用低噪声设备，关键部位采取隔声和减震措施、降低航速、减少鸣笛、船舶发动机及排气进行隔声处理，加强到港船舶发动机的维护工作，发动机设置在隔离间并采取降噪措施；加强各类机械设施的维修保养，确保厂界噪声满足《工业企业厂界环境噪声排放标准》（GB12348-2008）中4类标准要求。</w:t>
      </w:r>
    </w:p>
    <w:p>
      <w:pPr>
        <w:pStyle w:val="28"/>
        <w:keepNext w:val="0"/>
        <w:keepLines w:val="0"/>
        <w:pageBreakBefore w:val="0"/>
        <w:kinsoku w:val="0"/>
        <w:overflowPunct/>
        <w:topLinePunct/>
        <w:autoSpaceDE/>
        <w:autoSpaceDN/>
        <w:bidi w:val="0"/>
        <w:spacing w:line="4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五)营运期固体废物管理工作。按“无害化、减量化、资源化”原则，做好固体分类收集、暂存工作，建立健全固体废物产生、转运、处置管理台帐。码头设备维护产生的废矿物油按《危险废物贮存污染控制标准（GB18597-2001）》及2013年修改单相关要求暂存，定期交有资质的单位处置；码头员工生活垃圾</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船舶员工生活垃圾经收集后交环卫部门统一清运；船舶垃圾执行《船舶水污染物排放标准》（GB3552-2018）。</w:t>
      </w:r>
    </w:p>
    <w:p>
      <w:pPr>
        <w:keepNext w:val="0"/>
        <w:keepLines w:val="0"/>
        <w:pageBreakBefore w:val="0"/>
        <w:kinsoku w:val="0"/>
        <w:wordWrap w:val="0"/>
        <w:overflowPunct/>
        <w:topLinePunct/>
        <w:autoSpaceDE/>
        <w:autoSpaceDN/>
        <w:bidi w:val="0"/>
        <w:spacing w:line="4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六)营运期环境管理和风险防范工作。认真落实环境监测工作，配备专职环保管理人员，加强施工现场巡查及各类设备机械维护管理，建立健全污染防治设施运行管理制度及各类管理台帐，严格落实报告书中提出的各项环境管理与环境风险防范及应急处理措施，强化生态保护措施，制定应急预案，贮备应急物资并进行定期演练，防止环境风险事故发生。</w:t>
      </w:r>
    </w:p>
    <w:p>
      <w:pPr>
        <w:pStyle w:val="26"/>
        <w:keepNext w:val="0"/>
        <w:keepLines w:val="0"/>
        <w:pageBreakBefore w:val="0"/>
        <w:kinsoku w:val="0"/>
        <w:wordWrap w:val="0"/>
        <w:overflowPunct/>
        <w:topLinePunct/>
        <w:autoSpaceDE/>
        <w:autoSpaceDN/>
        <w:bidi w:val="0"/>
        <w:spacing w:line="460" w:lineRule="exact"/>
        <w:ind w:firstLine="640"/>
        <w:jc w:val="left"/>
        <w:outlineLvl w:val="2"/>
        <w:rPr>
          <w:rFonts w:ascii="仿宋" w:hAnsi="仿宋" w:eastAsia="仿宋" w:cs="仿宋"/>
          <w:color w:val="auto"/>
          <w:sz w:val="32"/>
          <w:szCs w:val="32"/>
        </w:rPr>
      </w:pPr>
      <w:r>
        <w:rPr>
          <w:rFonts w:hint="eastAsia" w:ascii="仿宋" w:hAnsi="仿宋" w:eastAsia="仿宋" w:cs="仿宋"/>
          <w:color w:val="auto"/>
          <w:sz w:val="32"/>
          <w:szCs w:val="32"/>
        </w:rPr>
        <w:t>(七)强化现有码头环境问题调查，完善“以新带老”污染防治措施；工程作业严格执行</w:t>
      </w:r>
      <w:r>
        <w:rPr>
          <w:rFonts w:hint="eastAsia" w:ascii="仿宋" w:hAnsi="仿宋" w:eastAsia="仿宋" w:cs="仿宋"/>
          <w:bCs/>
          <w:color w:val="auto"/>
          <w:sz w:val="32"/>
          <w:szCs w:val="32"/>
        </w:rPr>
        <w:t>《自然保护区管理条例》</w:t>
      </w:r>
      <w:r>
        <w:rPr>
          <w:rFonts w:hint="eastAsia" w:ascii="仿宋" w:hAnsi="仿宋" w:eastAsia="仿宋" w:cs="仿宋"/>
          <w:color w:val="auto"/>
          <w:sz w:val="32"/>
          <w:szCs w:val="32"/>
        </w:rPr>
        <w:t>相关规定，认真落实各项减缓措施，确保工程建设所产生的负面影响降至生态环境的承载能力范围之内；加强运营期保护区以及影响河段的巡护管理和</w:t>
      </w:r>
      <w:r>
        <w:rPr>
          <w:rFonts w:hint="eastAsia" w:ascii="仿宋" w:hAnsi="仿宋" w:eastAsia="仿宋" w:cs="仿宋"/>
          <w:bCs/>
          <w:color w:val="auto"/>
          <w:sz w:val="32"/>
          <w:szCs w:val="32"/>
        </w:rPr>
        <w:t>江豚救护宣传培训及动态监测</w:t>
      </w:r>
      <w:r>
        <w:rPr>
          <w:rFonts w:hint="eastAsia" w:ascii="仿宋" w:hAnsi="仿宋" w:eastAsia="仿宋" w:cs="仿宋"/>
          <w:color w:val="auto"/>
          <w:sz w:val="32"/>
          <w:szCs w:val="32"/>
        </w:rPr>
        <w:t>，委托有资质单位开展水生生态监测，落实生态补偿；工程竣工后，及时做施工迹地、湿地植被的修复工作。</w:t>
      </w:r>
    </w:p>
    <w:p>
      <w:pPr>
        <w:keepNext w:val="0"/>
        <w:keepLines w:val="0"/>
        <w:pageBreakBefore w:val="0"/>
        <w:kinsoku w:val="0"/>
        <w:wordWrap w:val="0"/>
        <w:overflowPunct/>
        <w:topLinePunct/>
        <w:autoSpaceDE/>
        <w:autoSpaceDN/>
        <w:bidi w:val="0"/>
        <w:spacing w:line="4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三、你公司应在收到本批复后15个工作日内，将批复及批准的环评报告文本送至岳阳市生态环境局</w:t>
      </w:r>
      <w:r>
        <w:rPr>
          <w:rFonts w:hint="eastAsia" w:ascii="仿宋" w:hAnsi="仿宋" w:eastAsia="仿宋" w:cs="仿宋"/>
          <w:color w:val="auto"/>
          <w:sz w:val="32"/>
          <w:szCs w:val="32"/>
          <w:lang w:val="en-US" w:eastAsia="zh-CN"/>
        </w:rPr>
        <w:t>屈原</w:t>
      </w:r>
      <w:r>
        <w:rPr>
          <w:rFonts w:hint="eastAsia" w:ascii="仿宋" w:hAnsi="仿宋" w:eastAsia="仿宋" w:cs="仿宋"/>
          <w:color w:val="auto"/>
          <w:sz w:val="32"/>
          <w:szCs w:val="32"/>
        </w:rPr>
        <w:t>分局、湖南道和环保科技有限公司。</w:t>
      </w:r>
    </w:p>
    <w:p>
      <w:pPr>
        <w:keepNext w:val="0"/>
        <w:keepLines w:val="0"/>
        <w:pageBreakBefore w:val="0"/>
        <w:kinsoku w:val="0"/>
        <w:wordWrap w:val="0"/>
        <w:overflowPunct/>
        <w:topLinePunct/>
        <w:autoSpaceDE/>
        <w:autoSpaceDN/>
        <w:bidi w:val="0"/>
        <w:spacing w:line="4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四、请岳阳市生态环境局</w:t>
      </w:r>
      <w:r>
        <w:rPr>
          <w:rFonts w:hint="eastAsia" w:ascii="仿宋" w:hAnsi="仿宋" w:eastAsia="仿宋" w:cs="仿宋"/>
          <w:color w:val="auto"/>
          <w:sz w:val="32"/>
          <w:szCs w:val="32"/>
          <w:lang w:val="en-US" w:eastAsia="zh-CN"/>
        </w:rPr>
        <w:t>屈原</w:t>
      </w:r>
      <w:r>
        <w:rPr>
          <w:rFonts w:hint="eastAsia" w:ascii="仿宋" w:hAnsi="仿宋" w:eastAsia="仿宋" w:cs="仿宋"/>
          <w:color w:val="auto"/>
          <w:sz w:val="32"/>
          <w:szCs w:val="32"/>
        </w:rPr>
        <w:t>分局负责项目建设期和运营期的日常环境监管。</w:t>
      </w:r>
    </w:p>
    <w:p>
      <w:pPr>
        <w:pStyle w:val="20"/>
        <w:keepNext w:val="0"/>
        <w:keepLines w:val="0"/>
        <w:pageBreakBefore w:val="0"/>
        <w:kinsoku w:val="0"/>
        <w:wordWrap w:val="0"/>
        <w:overflowPunct/>
        <w:topLinePunct/>
        <w:autoSpaceDE/>
        <w:autoSpaceDN/>
        <w:bidi w:val="0"/>
        <w:spacing w:line="460" w:lineRule="exact"/>
        <w:ind w:firstLine="585"/>
        <w:rPr>
          <w:rFonts w:ascii="仿宋" w:hAnsi="仿宋" w:eastAsia="仿宋" w:cs="仿宋"/>
          <w:color w:val="auto"/>
          <w:kern w:val="2"/>
          <w:sz w:val="32"/>
          <w:szCs w:val="32"/>
        </w:rPr>
      </w:pPr>
    </w:p>
    <w:p>
      <w:pPr>
        <w:pStyle w:val="20"/>
        <w:kinsoku w:val="0"/>
        <w:wordWrap w:val="0"/>
        <w:topLinePunct/>
        <w:spacing w:line="500" w:lineRule="exact"/>
        <w:rPr>
          <w:rFonts w:ascii="仿宋" w:hAnsi="仿宋" w:eastAsia="仿宋" w:cs="仿宋"/>
          <w:color w:val="auto"/>
          <w:kern w:val="2"/>
          <w:sz w:val="32"/>
          <w:szCs w:val="32"/>
        </w:rPr>
      </w:pPr>
    </w:p>
    <w:p>
      <w:pPr>
        <w:pStyle w:val="20"/>
        <w:kinsoku w:val="0"/>
        <w:wordWrap w:val="0"/>
        <w:topLinePunct/>
        <w:spacing w:line="500" w:lineRule="exact"/>
        <w:ind w:left="0" w:firstLine="5120" w:firstLineChars="1600"/>
        <w:rPr>
          <w:rFonts w:ascii="仿宋" w:hAnsi="仿宋" w:eastAsia="仿宋" w:cs="仿宋"/>
          <w:color w:val="auto"/>
          <w:kern w:val="2"/>
          <w:sz w:val="32"/>
          <w:szCs w:val="32"/>
        </w:rPr>
      </w:pPr>
      <w:r>
        <w:rPr>
          <w:rFonts w:hint="eastAsia" w:ascii="仿宋" w:hAnsi="仿宋" w:eastAsia="仿宋" w:cs="仿宋"/>
          <w:color w:val="auto"/>
          <w:kern w:val="2"/>
          <w:sz w:val="32"/>
          <w:szCs w:val="32"/>
        </w:rPr>
        <w:t>岳阳市生态环境局</w:t>
      </w:r>
    </w:p>
    <w:p>
      <w:pPr>
        <w:pStyle w:val="20"/>
        <w:kinsoku w:val="0"/>
        <w:wordWrap w:val="0"/>
        <w:topLinePunct/>
        <w:spacing w:line="500" w:lineRule="exact"/>
        <w:ind w:left="0" w:firstLine="5184" w:firstLineChars="1620"/>
        <w:rPr>
          <w:rFonts w:ascii="仿宋" w:hAnsi="仿宋" w:eastAsia="仿宋" w:cs="仿宋"/>
          <w:color w:val="auto"/>
          <w:kern w:val="2"/>
          <w:sz w:val="32"/>
          <w:szCs w:val="32"/>
        </w:rPr>
      </w:pPr>
      <w:r>
        <w:rPr>
          <w:rFonts w:hint="eastAsia" w:ascii="仿宋" w:hAnsi="仿宋" w:eastAsia="仿宋" w:cs="仿宋"/>
          <w:color w:val="auto"/>
          <w:kern w:val="2"/>
          <w:sz w:val="32"/>
          <w:szCs w:val="32"/>
        </w:rPr>
        <w:t>2022年</w:t>
      </w:r>
      <w:r>
        <w:rPr>
          <w:rFonts w:hint="eastAsia" w:ascii="仿宋" w:hAnsi="仿宋" w:eastAsia="仿宋" w:cs="仿宋"/>
          <w:color w:val="auto"/>
          <w:kern w:val="2"/>
          <w:sz w:val="32"/>
          <w:szCs w:val="32"/>
          <w:lang w:val="en-US" w:eastAsia="zh-CN"/>
        </w:rPr>
        <w:t>10</w:t>
      </w:r>
      <w:r>
        <w:rPr>
          <w:rFonts w:hint="eastAsia" w:ascii="仿宋" w:hAnsi="仿宋" w:eastAsia="仿宋" w:cs="仿宋"/>
          <w:color w:val="auto"/>
          <w:kern w:val="2"/>
          <w:sz w:val="32"/>
          <w:szCs w:val="32"/>
        </w:rPr>
        <w:t>月</w:t>
      </w:r>
      <w:r>
        <w:rPr>
          <w:rFonts w:hint="eastAsia" w:ascii="仿宋" w:hAnsi="仿宋" w:eastAsia="仿宋" w:cs="仿宋"/>
          <w:color w:val="auto"/>
          <w:kern w:val="2"/>
          <w:sz w:val="32"/>
          <w:szCs w:val="32"/>
          <w:lang w:val="en-US" w:eastAsia="zh-CN"/>
        </w:rPr>
        <w:t>13</w:t>
      </w:r>
      <w:bookmarkStart w:id="0" w:name="_GoBack"/>
      <w:bookmarkEnd w:id="0"/>
      <w:r>
        <w:rPr>
          <w:rFonts w:hint="eastAsia" w:ascii="仿宋" w:hAnsi="仿宋" w:eastAsia="仿宋" w:cs="仿宋"/>
          <w:color w:val="auto"/>
          <w:kern w:val="2"/>
          <w:sz w:val="32"/>
          <w:szCs w:val="32"/>
        </w:rPr>
        <w:t>日</w:t>
      </w:r>
    </w:p>
    <w:p>
      <w:pPr>
        <w:pStyle w:val="20"/>
        <w:kinsoku w:val="0"/>
        <w:wordWrap w:val="0"/>
        <w:topLinePunct/>
        <w:spacing w:line="500" w:lineRule="exact"/>
        <w:ind w:left="0" w:firstLine="4640" w:firstLineChars="1450"/>
        <w:rPr>
          <w:rFonts w:ascii="仿宋" w:hAnsi="仿宋" w:eastAsia="仿宋" w:cs="仿宋"/>
          <w:color w:val="auto"/>
          <w:kern w:val="2"/>
          <w:sz w:val="32"/>
          <w:szCs w:val="32"/>
        </w:rPr>
      </w:pPr>
    </w:p>
    <w:sectPr>
      <w:headerReference r:id="rId3" w:type="default"/>
      <w:footerReference r:id="rId4" w:type="default"/>
      <w:pgSz w:w="11906" w:h="16838"/>
      <w:pgMar w:top="1304" w:right="1474" w:bottom="1247" w:left="1531" w:header="851" w:footer="992" w:gutter="0"/>
      <w:cols w:space="720" w:num="1"/>
      <w:titlePg/>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5</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2"/>
      <w:lvlText w:val="%3."/>
      <w:lvlJc w:val="right"/>
      <w:pPr>
        <w:tabs>
          <w:tab w:val="left" w:pos="1260"/>
        </w:tabs>
        <w:ind w:left="1260" w:hanging="420"/>
      </w:pPr>
    </w:lvl>
    <w:lvl w:ilvl="3" w:tentative="0">
      <w:start w:val="1"/>
      <w:numFmt w:val="decimal"/>
      <w:pStyle w:val="3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HorizontalSpacing w:val="105"/>
  <w:drawingGridVerticalSpacing w:val="291"/>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mQ5NDQxNzExMTNkYWJkYzI5YTMyM2M4MWY1NzkifQ=="/>
  </w:docVars>
  <w:rsids>
    <w:rsidRoot w:val="00B41150"/>
    <w:rsid w:val="0018190A"/>
    <w:rsid w:val="003500BB"/>
    <w:rsid w:val="003B6AA9"/>
    <w:rsid w:val="00422D1D"/>
    <w:rsid w:val="00477001"/>
    <w:rsid w:val="004F526B"/>
    <w:rsid w:val="00554979"/>
    <w:rsid w:val="006549D8"/>
    <w:rsid w:val="00694D25"/>
    <w:rsid w:val="00720C3B"/>
    <w:rsid w:val="00800B90"/>
    <w:rsid w:val="00974CC1"/>
    <w:rsid w:val="00A60FB7"/>
    <w:rsid w:val="00B41150"/>
    <w:rsid w:val="00C96B01"/>
    <w:rsid w:val="00D80513"/>
    <w:rsid w:val="00D87843"/>
    <w:rsid w:val="00D968A6"/>
    <w:rsid w:val="00F0426E"/>
    <w:rsid w:val="00F438C5"/>
    <w:rsid w:val="00F908CF"/>
    <w:rsid w:val="00FC0DC0"/>
    <w:rsid w:val="02573C70"/>
    <w:rsid w:val="02897FD2"/>
    <w:rsid w:val="02C74013"/>
    <w:rsid w:val="04D63A3A"/>
    <w:rsid w:val="04E80F9A"/>
    <w:rsid w:val="05603C6F"/>
    <w:rsid w:val="05EC445F"/>
    <w:rsid w:val="073A0944"/>
    <w:rsid w:val="07635B27"/>
    <w:rsid w:val="07D4200F"/>
    <w:rsid w:val="0B2F4D23"/>
    <w:rsid w:val="0B5207A2"/>
    <w:rsid w:val="0BD42F6B"/>
    <w:rsid w:val="0D6E3086"/>
    <w:rsid w:val="10C20676"/>
    <w:rsid w:val="11851C0B"/>
    <w:rsid w:val="12571B08"/>
    <w:rsid w:val="12A70155"/>
    <w:rsid w:val="13D02A16"/>
    <w:rsid w:val="172779EC"/>
    <w:rsid w:val="176F3147"/>
    <w:rsid w:val="19877CA3"/>
    <w:rsid w:val="19D04BF7"/>
    <w:rsid w:val="1AD16926"/>
    <w:rsid w:val="1C0E1511"/>
    <w:rsid w:val="1CC666AD"/>
    <w:rsid w:val="1CE216AC"/>
    <w:rsid w:val="213A5490"/>
    <w:rsid w:val="218D1FDD"/>
    <w:rsid w:val="21BD08CC"/>
    <w:rsid w:val="22B36546"/>
    <w:rsid w:val="23AE1CD6"/>
    <w:rsid w:val="24DC02F7"/>
    <w:rsid w:val="27653582"/>
    <w:rsid w:val="28E92B8E"/>
    <w:rsid w:val="2CC358D7"/>
    <w:rsid w:val="2F9C6646"/>
    <w:rsid w:val="331A3682"/>
    <w:rsid w:val="33226E62"/>
    <w:rsid w:val="3364197B"/>
    <w:rsid w:val="37AC6784"/>
    <w:rsid w:val="38AF2F46"/>
    <w:rsid w:val="3E3F51F3"/>
    <w:rsid w:val="3EDE5FB2"/>
    <w:rsid w:val="3FBB3B5C"/>
    <w:rsid w:val="449A0075"/>
    <w:rsid w:val="44A63796"/>
    <w:rsid w:val="45965BB9"/>
    <w:rsid w:val="46EE732F"/>
    <w:rsid w:val="49563CB5"/>
    <w:rsid w:val="49752CFB"/>
    <w:rsid w:val="49C04218"/>
    <w:rsid w:val="4AF173EE"/>
    <w:rsid w:val="4B7F7215"/>
    <w:rsid w:val="4C963BE4"/>
    <w:rsid w:val="4CAB3FFE"/>
    <w:rsid w:val="4E045E46"/>
    <w:rsid w:val="4F077FEE"/>
    <w:rsid w:val="4F7C3E99"/>
    <w:rsid w:val="50806846"/>
    <w:rsid w:val="529B08AD"/>
    <w:rsid w:val="53111A82"/>
    <w:rsid w:val="54267DC9"/>
    <w:rsid w:val="57874869"/>
    <w:rsid w:val="58006EC2"/>
    <w:rsid w:val="5A7403EE"/>
    <w:rsid w:val="5BCF2AD9"/>
    <w:rsid w:val="5BF24ED8"/>
    <w:rsid w:val="5DFE7FB7"/>
    <w:rsid w:val="5E0617C8"/>
    <w:rsid w:val="5E3345B8"/>
    <w:rsid w:val="60413BF8"/>
    <w:rsid w:val="62B4409B"/>
    <w:rsid w:val="63C17548"/>
    <w:rsid w:val="648E71A0"/>
    <w:rsid w:val="67E96276"/>
    <w:rsid w:val="690E6C39"/>
    <w:rsid w:val="6A9958BF"/>
    <w:rsid w:val="6B6D4D3A"/>
    <w:rsid w:val="6DB553C4"/>
    <w:rsid w:val="6EEB3447"/>
    <w:rsid w:val="7040208D"/>
    <w:rsid w:val="72CF52EC"/>
    <w:rsid w:val="74294B7B"/>
    <w:rsid w:val="76D23B71"/>
    <w:rsid w:val="76E578A0"/>
    <w:rsid w:val="76EB17CA"/>
    <w:rsid w:val="77B025A6"/>
    <w:rsid w:val="77DD20CC"/>
    <w:rsid w:val="792C7DC6"/>
    <w:rsid w:val="7AA27201"/>
    <w:rsid w:val="7B3D783F"/>
    <w:rsid w:val="7D9509DA"/>
    <w:rsid w:val="7EA573C7"/>
    <w:rsid w:val="7FBA1F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1"/>
    <w:qFormat/>
    <w:uiPriority w:val="99"/>
    <w:pPr>
      <w:widowControl/>
      <w:pBdr>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rPr>
  </w:style>
  <w:style w:type="paragraph" w:styleId="4">
    <w:name w:val="Normal Indent"/>
    <w:basedOn w:val="1"/>
    <w:qFormat/>
    <w:uiPriority w:val="0"/>
    <w:pPr>
      <w:spacing w:line="360" w:lineRule="auto"/>
      <w:ind w:firstLine="482"/>
    </w:pPr>
    <w:rPr>
      <w:sz w:val="24"/>
    </w:rPr>
  </w:style>
  <w:style w:type="paragraph" w:styleId="5">
    <w:name w:val="Date"/>
    <w:basedOn w:val="1"/>
    <w:next w:val="1"/>
    <w:link w:val="13"/>
    <w:qFormat/>
    <w:uiPriority w:val="99"/>
    <w:pPr>
      <w:ind w:left="100" w:leftChars="2500"/>
    </w:p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日期 Char"/>
    <w:basedOn w:val="11"/>
    <w:link w:val="5"/>
    <w:qFormat/>
    <w:uiPriority w:val="99"/>
    <w:rPr>
      <w:szCs w:val="24"/>
    </w:rPr>
  </w:style>
  <w:style w:type="character" w:customStyle="1" w:styleId="14">
    <w:name w:val="批注框文本 Char"/>
    <w:basedOn w:val="11"/>
    <w:link w:val="6"/>
    <w:qFormat/>
    <w:uiPriority w:val="99"/>
    <w:rPr>
      <w:rFonts w:cs="Times New Roman"/>
      <w:kern w:val="2"/>
      <w:sz w:val="18"/>
      <w:szCs w:val="18"/>
    </w:rPr>
  </w:style>
  <w:style w:type="character" w:customStyle="1" w:styleId="15">
    <w:name w:val="页脚 Char"/>
    <w:basedOn w:val="11"/>
    <w:link w:val="7"/>
    <w:qFormat/>
    <w:uiPriority w:val="99"/>
    <w:rPr>
      <w:rFonts w:cs="Times New Roman"/>
      <w:kern w:val="2"/>
      <w:sz w:val="18"/>
      <w:szCs w:val="18"/>
    </w:rPr>
  </w:style>
  <w:style w:type="character" w:customStyle="1" w:styleId="16">
    <w:name w:val="页眉 Char"/>
    <w:basedOn w:val="11"/>
    <w:link w:val="8"/>
    <w:qFormat/>
    <w:uiPriority w:val="99"/>
    <w:rPr>
      <w:rFonts w:cs="Times New Roman"/>
      <w:kern w:val="2"/>
      <w:sz w:val="18"/>
      <w:szCs w:val="18"/>
    </w:rPr>
  </w:style>
  <w:style w:type="character" w:customStyle="1" w:styleId="17">
    <w:name w:val="p0 Char"/>
    <w:basedOn w:val="11"/>
    <w:link w:val="18"/>
    <w:qFormat/>
    <w:uiPriority w:val="99"/>
    <w:rPr>
      <w:rFonts w:eastAsia="宋体" w:cs="Times New Roman"/>
      <w:sz w:val="32"/>
      <w:szCs w:val="32"/>
      <w:lang w:val="en-US" w:eastAsia="zh-CN" w:bidi="ar-SA"/>
    </w:rPr>
  </w:style>
  <w:style w:type="paragraph" w:customStyle="1" w:styleId="18">
    <w:name w:val="p0"/>
    <w:basedOn w:val="1"/>
    <w:link w:val="17"/>
    <w:qFormat/>
    <w:uiPriority w:val="99"/>
    <w:pPr>
      <w:widowControl/>
    </w:pPr>
    <w:rPr>
      <w:kern w:val="0"/>
      <w:sz w:val="32"/>
      <w:szCs w:val="32"/>
    </w:rPr>
  </w:style>
  <w:style w:type="paragraph" w:customStyle="1" w:styleId="19">
    <w:name w:val="WPS Plain"/>
    <w:qFormat/>
    <w:uiPriority w:val="99"/>
    <w:rPr>
      <w:rFonts w:ascii="Times New Roman" w:hAnsi="Times New Roman" w:eastAsia="宋体" w:cs="Times New Roman"/>
      <w:lang w:val="en-US" w:eastAsia="zh-CN" w:bidi="ar-SA"/>
    </w:rPr>
  </w:style>
  <w:style w:type="paragraph" w:customStyle="1" w:styleId="20">
    <w:name w:val="0"/>
    <w:basedOn w:val="1"/>
    <w:qFormat/>
    <w:uiPriority w:val="99"/>
    <w:pPr>
      <w:widowControl/>
      <w:snapToGrid w:val="0"/>
      <w:spacing w:line="365" w:lineRule="atLeast"/>
      <w:ind w:left="1"/>
      <w:textAlignment w:val="bottom"/>
    </w:pPr>
    <w:rPr>
      <w:kern w:val="0"/>
      <w:sz w:val="20"/>
      <w:szCs w:val="20"/>
    </w:rPr>
  </w:style>
  <w:style w:type="paragraph" w:customStyle="1" w:styleId="21">
    <w:name w:val="表头字体宋"/>
    <w:basedOn w:val="1"/>
    <w:qFormat/>
    <w:uiPriority w:val="99"/>
    <w:pPr>
      <w:spacing w:line="500" w:lineRule="exact"/>
      <w:jc w:val="center"/>
    </w:pPr>
    <w:rPr>
      <w:rFonts w:ascii="宋体" w:hAnsi="宋体" w:cs="宋体"/>
      <w:b/>
      <w:bCs/>
      <w:sz w:val="24"/>
      <w:szCs w:val="20"/>
    </w:rPr>
  </w:style>
  <w:style w:type="paragraph" w:customStyle="1" w:styleId="22">
    <w:name w:val="表格内容"/>
    <w:basedOn w:val="1"/>
    <w:qFormat/>
    <w:uiPriority w:val="99"/>
    <w:pPr>
      <w:autoSpaceDE w:val="0"/>
      <w:autoSpaceDN w:val="0"/>
      <w:adjustRightInd w:val="0"/>
      <w:spacing w:line="360" w:lineRule="auto"/>
      <w:jc w:val="center"/>
      <w:textAlignment w:val="baseline"/>
    </w:pPr>
    <w:rPr>
      <w:color w:val="000000"/>
      <w:kern w:val="0"/>
      <w:szCs w:val="21"/>
    </w:rPr>
  </w:style>
  <w:style w:type="character" w:customStyle="1" w:styleId="23">
    <w:name w:val="biaoge Char"/>
    <w:link w:val="24"/>
    <w:qFormat/>
    <w:uiPriority w:val="99"/>
    <w:rPr>
      <w:kern w:val="2"/>
      <w:sz w:val="24"/>
    </w:rPr>
  </w:style>
  <w:style w:type="paragraph" w:customStyle="1" w:styleId="24">
    <w:name w:val="biaoge"/>
    <w:basedOn w:val="1"/>
    <w:link w:val="23"/>
    <w:qFormat/>
    <w:uiPriority w:val="99"/>
    <w:pPr>
      <w:jc w:val="center"/>
    </w:pPr>
    <w:rPr>
      <w:sz w:val="24"/>
      <w:szCs w:val="20"/>
    </w:rPr>
  </w:style>
  <w:style w:type="paragraph" w:customStyle="1" w:styleId="25">
    <w:name w:val="文章正文样式"/>
    <w:basedOn w:val="1"/>
    <w:qFormat/>
    <w:uiPriority w:val="0"/>
    <w:pPr>
      <w:spacing w:line="520" w:lineRule="exact"/>
      <w:ind w:firstLine="480" w:firstLineChars="200"/>
      <w:jc w:val="left"/>
    </w:pPr>
    <w:rPr>
      <w:rFonts w:ascii="宋体" w:hAnsi="宋体" w:cs="宋体"/>
      <w:sz w:val="24"/>
    </w:rPr>
  </w:style>
  <w:style w:type="paragraph" w:styleId="26">
    <w:name w:val="List Paragraph"/>
    <w:basedOn w:val="1"/>
    <w:qFormat/>
    <w:uiPriority w:val="99"/>
    <w:pPr>
      <w:ind w:firstLine="420" w:firstLineChars="200"/>
    </w:pPr>
  </w:style>
  <w:style w:type="character" w:customStyle="1" w:styleId="27">
    <w:name w:val="正文1 Char"/>
    <w:link w:val="28"/>
    <w:qFormat/>
    <w:uiPriority w:val="0"/>
    <w:rPr>
      <w:rFonts w:ascii="Times New Roman" w:hAnsi="Times New Roman"/>
      <w:kern w:val="0"/>
      <w:sz w:val="24"/>
      <w:szCs w:val="20"/>
    </w:rPr>
  </w:style>
  <w:style w:type="paragraph" w:customStyle="1" w:styleId="28">
    <w:name w:val="正文1"/>
    <w:basedOn w:val="1"/>
    <w:link w:val="27"/>
    <w:qFormat/>
    <w:uiPriority w:val="0"/>
    <w:pPr>
      <w:spacing w:line="360" w:lineRule="auto"/>
      <w:ind w:firstLine="723" w:firstLineChars="200"/>
    </w:pPr>
    <w:rPr>
      <w:kern w:val="0"/>
      <w:sz w:val="24"/>
      <w:szCs w:val="20"/>
    </w:rPr>
  </w:style>
  <w:style w:type="paragraph" w:customStyle="1" w:styleId="29">
    <w:name w:val="四级条标题"/>
    <w:basedOn w:val="30"/>
    <w:next w:val="34"/>
    <w:qFormat/>
    <w:uiPriority w:val="0"/>
    <w:pPr>
      <w:tabs>
        <w:tab w:val="left" w:pos="1260"/>
      </w:tabs>
      <w:outlineLvl w:val="5"/>
    </w:pPr>
    <w:rPr>
      <w:rFonts w:ascii="黑体" w:eastAsia="黑体"/>
      <w:szCs w:val="20"/>
    </w:rPr>
  </w:style>
  <w:style w:type="paragraph" w:customStyle="1" w:styleId="30">
    <w:name w:val="三级条标题"/>
    <w:basedOn w:val="31"/>
    <w:next w:val="34"/>
    <w:qFormat/>
    <w:uiPriority w:val="0"/>
    <w:pPr>
      <w:numPr>
        <w:numId w:val="0"/>
      </w:numPr>
      <w:tabs>
        <w:tab w:val="left" w:pos="1260"/>
      </w:tabs>
      <w:outlineLvl w:val="4"/>
    </w:pPr>
  </w:style>
  <w:style w:type="paragraph" w:customStyle="1" w:styleId="31">
    <w:name w:val="二级条标题"/>
    <w:basedOn w:val="32"/>
    <w:next w:val="34"/>
    <w:qFormat/>
    <w:uiPriority w:val="0"/>
    <w:pPr>
      <w:numPr>
        <w:ilvl w:val="3"/>
      </w:numPr>
      <w:tabs>
        <w:tab w:val="left" w:pos="1260"/>
      </w:tabs>
      <w:outlineLvl w:val="3"/>
    </w:pPr>
  </w:style>
  <w:style w:type="paragraph" w:customStyle="1" w:styleId="32">
    <w:name w:val="一级条标题"/>
    <w:basedOn w:val="33"/>
    <w:next w:val="34"/>
    <w:qFormat/>
    <w:uiPriority w:val="0"/>
    <w:pPr>
      <w:numPr>
        <w:ilvl w:val="2"/>
        <w:numId w:val="1"/>
      </w:numPr>
      <w:spacing w:beforeLines="0" w:afterLines="0"/>
      <w:outlineLvl w:val="2"/>
    </w:pPr>
    <w:rPr>
      <w:rFonts w:ascii="Times New Roman" w:hAnsi="Times New Roman" w:eastAsia="宋体"/>
    </w:rPr>
  </w:style>
  <w:style w:type="paragraph" w:customStyle="1" w:styleId="33">
    <w:name w:val="章标题"/>
    <w:next w:val="34"/>
    <w:qFormat/>
    <w:uiPriority w:val="0"/>
    <w:pPr>
      <w:spacing w:beforeLines="50" w:afterLines="50"/>
      <w:jc w:val="both"/>
      <w:outlineLvl w:val="1"/>
    </w:pPr>
    <w:rPr>
      <w:rFonts w:ascii="黑体" w:hAnsi="Calibri" w:eastAsia="黑体" w:cs="Times New Roman"/>
      <w:sz w:val="21"/>
      <w:szCs w:val="22"/>
      <w:lang w:val="en-US" w:eastAsia="zh-CN" w:bidi="ar-SA"/>
    </w:rPr>
  </w:style>
  <w:style w:type="paragraph" w:customStyle="1" w:styleId="34">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2737</Words>
  <Characters>2966</Characters>
  <Lines>21</Lines>
  <Paragraphs>6</Paragraphs>
  <TotalTime>5</TotalTime>
  <ScaleCrop>false</ScaleCrop>
  <LinksUpToDate>false</LinksUpToDate>
  <CharactersWithSpaces>2973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2019-02-01T10:46:00Z</dcterms:created>
  <dc:creator>微软用户</dc:creator>
  <cp:lastModifiedBy>一直向前走</cp:lastModifiedBy>
  <cp:lastPrinted>2022-09-30T02:42:00Z</cp:lastPrinted>
  <dcterms:modified xsi:type="dcterms:W3CDTF">2022-10-13T01:17:18Z</dcterms:modified>
  <dc:title>湘 阴 县 大 地 化 工 有 限 公 司</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C388203D84044914A06CA5B57C3FED1E</vt:lpwstr>
  </property>
</Properties>
</file>