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r>
        <w:rPr>
          <w:rFonts w:hint="eastAsia" w:eastAsia="黑体"/>
          <w:b/>
          <w:kern w:val="2"/>
          <w:sz w:val="36"/>
        </w:rPr>
        <w:t xml:space="preserve">              </w:t>
      </w:r>
    </w:p>
    <w:p>
      <w:pPr>
        <w:pStyle w:val="19"/>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p>
    <w:p>
      <w:pPr>
        <w:pStyle w:val="19"/>
        <w:keepNext w:val="0"/>
        <w:keepLines w:val="0"/>
        <w:pageBreakBefore w:val="0"/>
        <w:widowControl/>
        <w:kinsoku/>
        <w:wordWrap/>
        <w:overflowPunct/>
        <w:topLinePunct w:val="0"/>
        <w:autoSpaceDE/>
        <w:autoSpaceDN/>
        <w:bidi w:val="0"/>
        <w:adjustRightInd/>
        <w:snapToGrid/>
        <w:spacing w:line="500" w:lineRule="exact"/>
        <w:textAlignment w:val="top"/>
        <w:rPr>
          <w:rFonts w:hint="eastAsia" w:ascii="宋体" w:hAnsi="宋体" w:eastAsia="宋体" w:cs="宋体"/>
          <w:b w:val="0"/>
          <w:bCs/>
          <w:kern w:val="2"/>
          <w:sz w:val="36"/>
        </w:rPr>
      </w:pPr>
    </w:p>
    <w:p>
      <w:pPr>
        <w:pStyle w:val="19"/>
        <w:keepNext w:val="0"/>
        <w:keepLines w:val="0"/>
        <w:pageBreakBefore w:val="0"/>
        <w:widowControl/>
        <w:kinsoku/>
        <w:wordWrap/>
        <w:overflowPunct/>
        <w:topLinePunct w:val="0"/>
        <w:autoSpaceDE/>
        <w:autoSpaceDN/>
        <w:bidi w:val="0"/>
        <w:adjustRightInd/>
        <w:snapToGrid/>
        <w:spacing w:line="660" w:lineRule="exact"/>
        <w:textAlignment w:val="top"/>
        <w:rPr>
          <w:rFonts w:hint="eastAsia" w:eastAsia="黑体"/>
          <w:b/>
          <w:kern w:val="2"/>
          <w:sz w:val="21"/>
          <w:szCs w:val="21"/>
        </w:rPr>
      </w:pPr>
      <w:r>
        <w:rPr>
          <w:rFonts w:hint="eastAsia" w:eastAsia="黑体"/>
          <w:b/>
          <w:kern w:val="2"/>
          <w:sz w:val="36"/>
        </w:rPr>
        <w:t xml:space="preserve">     </w:t>
      </w:r>
    </w:p>
    <w:p>
      <w:pPr>
        <w:spacing w:line="480" w:lineRule="exact"/>
        <w:ind w:left="300" w:hanging="300" w:hangingChars="100"/>
        <w:jc w:val="right"/>
        <w:rPr>
          <w:rFonts w:hint="eastAsia" w:ascii="仿宋_GB2312" w:hAnsi="仿宋_GB2312" w:eastAsia="仿宋_GB2312" w:cs="仿宋_GB2312"/>
          <w:color w:val="000000"/>
          <w:sz w:val="32"/>
          <w:szCs w:val="32"/>
        </w:rPr>
      </w:pPr>
      <w:r>
        <w:rPr>
          <w:rFonts w:hint="eastAsia" w:eastAsia="楷体_GB2312"/>
          <w:color w:val="FF0000"/>
          <w:sz w:val="30"/>
          <w:szCs w:val="30"/>
        </w:rPr>
        <w:t xml:space="preserve">                                    </w:t>
      </w:r>
      <w:r>
        <w:rPr>
          <w:rFonts w:hint="eastAsia" w:ascii="仿宋_GB2312" w:hAnsi="仿宋_GB2312" w:eastAsia="仿宋_GB2312" w:cs="仿宋_GB2312"/>
          <w:color w:val="000000"/>
          <w:sz w:val="32"/>
          <w:szCs w:val="32"/>
        </w:rPr>
        <w:t>岳环评</w:t>
      </w: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31</w:t>
      </w:r>
      <w:r>
        <w:rPr>
          <w:rFonts w:hint="eastAsia" w:ascii="仿宋_GB2312" w:hAnsi="仿宋_GB2312" w:eastAsia="仿宋_GB2312" w:cs="仿宋_GB2312"/>
          <w:color w:val="000000"/>
          <w:sz w:val="32"/>
          <w:szCs w:val="32"/>
        </w:rPr>
        <w:t>号</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r>
        <w:rPr>
          <w:rFonts w:hint="eastAsia" w:ascii="华文中宋" w:hAnsi="华文中宋" w:eastAsia="华文中宋" w:cs="黑体"/>
          <w:b/>
          <w:color w:val="000000"/>
          <w:sz w:val="36"/>
          <w:szCs w:val="36"/>
        </w:rPr>
        <w:t>关于</w:t>
      </w:r>
      <w:r>
        <w:rPr>
          <w:rFonts w:hint="eastAsia" w:ascii="华文中宋" w:hAnsi="华文中宋" w:eastAsia="华文中宋" w:cs="黑体"/>
          <w:b/>
          <w:color w:val="000000"/>
          <w:sz w:val="36"/>
          <w:szCs w:val="36"/>
          <w:lang w:eastAsia="zh-CN"/>
        </w:rPr>
        <w:t>湖南泽明新材料有限公司</w:t>
      </w:r>
      <w:r>
        <w:rPr>
          <w:rFonts w:hint="eastAsia" w:ascii="华文中宋" w:hAnsi="华文中宋" w:eastAsia="华文中宋" w:cs="黑体"/>
          <w:b/>
          <w:color w:val="000000"/>
          <w:sz w:val="36"/>
          <w:szCs w:val="36"/>
          <w:lang w:val="en-US" w:eastAsia="zh-CN"/>
        </w:rPr>
        <w:t>年产2万吨三环氧丙基异氰尿酸酯、副产1.3万吨NaCl、0.3万吨多元醇建设项目</w:t>
      </w:r>
      <w:r>
        <w:rPr>
          <w:rFonts w:hint="eastAsia" w:ascii="华文中宋" w:hAnsi="华文中宋" w:eastAsia="华文中宋" w:cs="黑体"/>
          <w:b/>
          <w:color w:val="000000"/>
          <w:sz w:val="36"/>
          <w:szCs w:val="36"/>
        </w:rPr>
        <w:t>环境影响报</w:t>
      </w:r>
      <w:r>
        <w:rPr>
          <w:rFonts w:hint="eastAsia" w:ascii="华文中宋" w:hAnsi="华文中宋" w:eastAsia="华文中宋" w:cs="黑体"/>
          <w:b/>
          <w:color w:val="000000"/>
          <w:sz w:val="36"/>
          <w:szCs w:val="36"/>
          <w:lang w:val="en-US" w:eastAsia="zh-CN"/>
        </w:rPr>
        <w:t>告</w:t>
      </w:r>
      <w:r>
        <w:rPr>
          <w:rFonts w:hint="eastAsia" w:ascii="华文中宋" w:hAnsi="华文中宋" w:eastAsia="华文中宋" w:cs="黑体"/>
          <w:b/>
          <w:color w:val="000000"/>
          <w:sz w:val="36"/>
          <w:szCs w:val="36"/>
        </w:rPr>
        <w:t>书的批复</w:t>
      </w:r>
    </w:p>
    <w:p>
      <w:pPr>
        <w:keepNext w:val="0"/>
        <w:keepLines w:val="0"/>
        <w:pageBreakBefore w:val="0"/>
        <w:kinsoku/>
        <w:wordWrap/>
        <w:overflowPunct/>
        <w:topLinePunct w:val="0"/>
        <w:autoSpaceDE w:val="0"/>
        <w:autoSpaceDN/>
        <w:bidi w:val="0"/>
        <w:adjustRightInd/>
        <w:spacing w:line="514" w:lineRule="exact"/>
        <w:ind w:left="0" w:leftChars="0" w:firstLine="0" w:firstLineChars="0"/>
        <w:textAlignment w:val="auto"/>
        <w:rPr>
          <w:rFonts w:hint="eastAsia" w:ascii="仿宋" w:hAnsi="仿宋" w:eastAsia="仿宋" w:cs="Times New Roman"/>
          <w:color w:val="000000"/>
          <w:sz w:val="32"/>
          <w:szCs w:val="32"/>
          <w:u w:val="none"/>
        </w:rPr>
      </w:pPr>
    </w:p>
    <w:p>
      <w:pPr>
        <w:keepNext w:val="0"/>
        <w:keepLines w:val="0"/>
        <w:pageBreakBefore w:val="0"/>
        <w:widowControl w:val="0"/>
        <w:kinsoku/>
        <w:wordWrap/>
        <w:overflowPunct/>
        <w:topLinePunct w:val="0"/>
        <w:autoSpaceDE w:val="0"/>
        <w:autoSpaceDN/>
        <w:bidi w:val="0"/>
        <w:adjustRightInd/>
        <w:snapToGrid/>
        <w:spacing w:line="480" w:lineRule="exact"/>
        <w:ind w:left="0" w:leftChars="0" w:firstLine="0" w:firstLineChars="0"/>
        <w:textAlignment w:val="auto"/>
        <w:rPr>
          <w:rFonts w:hint="eastAsia" w:ascii="仿宋" w:hAnsi="仿宋" w:eastAsia="仿宋" w:cs="Times New Roman"/>
          <w:color w:val="000000"/>
          <w:sz w:val="32"/>
          <w:szCs w:val="32"/>
          <w:u w:val="none"/>
        </w:rPr>
      </w:pPr>
      <w:r>
        <w:rPr>
          <w:rFonts w:hint="eastAsia" w:ascii="仿宋" w:hAnsi="仿宋" w:eastAsia="仿宋" w:cs="Times New Roman"/>
          <w:color w:val="000000"/>
          <w:sz w:val="32"/>
          <w:szCs w:val="32"/>
          <w:u w:val="none"/>
          <w:lang w:eastAsia="zh-CN"/>
        </w:rPr>
        <w:t>湖南泽明新材料有限公司</w:t>
      </w:r>
      <w:r>
        <w:rPr>
          <w:rFonts w:ascii="仿宋" w:hAnsi="仿宋" w:eastAsia="仿宋" w:cs="Times New Roman"/>
          <w:color w:val="000000"/>
          <w:sz w:val="32"/>
          <w:szCs w:val="32"/>
          <w:u w:val="none"/>
        </w:rPr>
        <w:t>：</w:t>
      </w:r>
    </w:p>
    <w:p>
      <w:pPr>
        <w:keepNext w:val="0"/>
        <w:keepLines w:val="0"/>
        <w:pageBreakBefore w:val="0"/>
        <w:widowControl w:val="0"/>
        <w:kinsoku/>
        <w:wordWrap/>
        <w:overflowPunct/>
        <w:topLinePunct w:val="0"/>
        <w:autoSpaceDE w:val="0"/>
        <w:autoSpaceDN/>
        <w:bidi w:val="0"/>
        <w:adjustRightInd/>
        <w:snapToGrid/>
        <w:spacing w:line="480" w:lineRule="exact"/>
        <w:ind w:firstLine="645"/>
        <w:textAlignment w:val="auto"/>
        <w:rPr>
          <w:rFonts w:ascii="仿宋" w:hAnsi="仿宋" w:eastAsia="仿宋"/>
          <w:color w:val="000000"/>
          <w:sz w:val="32"/>
          <w:szCs w:val="32"/>
          <w:u w:val="none"/>
        </w:rPr>
      </w:pPr>
      <w:r>
        <w:rPr>
          <w:rFonts w:ascii="仿宋" w:hAnsi="仿宋" w:eastAsia="仿宋"/>
          <w:color w:val="000000"/>
          <w:sz w:val="32"/>
          <w:szCs w:val="32"/>
          <w:u w:val="none"/>
        </w:rPr>
        <w:t>你公司《关</w:t>
      </w:r>
      <w:r>
        <w:rPr>
          <w:rFonts w:hint="eastAsia" w:ascii="仿宋" w:hAnsi="仿宋" w:eastAsia="仿宋" w:cs="Times New Roman"/>
          <w:color w:val="000000"/>
          <w:sz w:val="32"/>
          <w:szCs w:val="32"/>
          <w:u w:val="none"/>
        </w:rPr>
        <w:t>于</w:t>
      </w:r>
      <w:r>
        <w:rPr>
          <w:rFonts w:hint="eastAsia" w:ascii="仿宋" w:hAnsi="仿宋" w:eastAsia="仿宋" w:cs="Times New Roman"/>
          <w:color w:val="000000"/>
          <w:sz w:val="32"/>
          <w:szCs w:val="32"/>
          <w:u w:val="none"/>
          <w:lang w:val="en-US" w:eastAsia="zh-CN"/>
        </w:rPr>
        <w:t>申请</w:t>
      </w:r>
      <w:r>
        <w:rPr>
          <w:rFonts w:hint="eastAsia" w:ascii="仿宋" w:hAnsi="仿宋" w:eastAsia="仿宋" w:cs="仿宋"/>
          <w:color w:val="000000"/>
          <w:sz w:val="32"/>
          <w:szCs w:val="32"/>
          <w:u w:val="none"/>
          <w:lang w:val="en-US" w:eastAsia="zh-CN"/>
        </w:rPr>
        <w:t>〈</w:t>
      </w:r>
      <w:r>
        <w:rPr>
          <w:rFonts w:hint="eastAsia" w:ascii="仿宋" w:hAnsi="仿宋" w:eastAsia="仿宋" w:cs="Times New Roman"/>
          <w:color w:val="000000"/>
          <w:sz w:val="32"/>
          <w:szCs w:val="32"/>
          <w:u w:val="none"/>
          <w:lang w:eastAsia="zh-CN"/>
        </w:rPr>
        <w:t>湖南泽明新材料有限公司</w:t>
      </w:r>
      <w:r>
        <w:rPr>
          <w:rFonts w:hint="eastAsia" w:ascii="仿宋_GB2312" w:hAnsi="仿宋_GB2312" w:eastAsia="仿宋_GB2312" w:cs="仿宋_GB2312"/>
          <w:color w:val="000000"/>
          <w:sz w:val="32"/>
          <w:szCs w:val="32"/>
          <w:lang w:val="en-US" w:eastAsia="zh-CN"/>
        </w:rPr>
        <w:t>年产2万吨三环氧丙基异氰尿酸酯、副产1.3万吨NaCl、0.3万吨多元醇建设项目</w:t>
      </w:r>
      <w:r>
        <w:rPr>
          <w:rFonts w:hint="eastAsia" w:ascii="仿宋" w:hAnsi="仿宋" w:eastAsia="仿宋" w:cs="仿宋"/>
          <w:color w:val="000000"/>
          <w:sz w:val="32"/>
          <w:szCs w:val="32"/>
          <w:lang w:val="en-US" w:eastAsia="zh-CN"/>
        </w:rPr>
        <w:t>〉</w:t>
      </w:r>
      <w:r>
        <w:rPr>
          <w:rFonts w:hint="eastAsia" w:ascii="仿宋" w:hAnsi="仿宋" w:eastAsia="仿宋" w:cs="Times New Roman"/>
          <w:color w:val="000000"/>
          <w:sz w:val="32"/>
          <w:szCs w:val="32"/>
          <w:u w:val="none"/>
        </w:rPr>
        <w:t>的批复</w:t>
      </w:r>
      <w:r>
        <w:rPr>
          <w:rFonts w:hint="eastAsia" w:ascii="仿宋" w:hAnsi="仿宋" w:eastAsia="仿宋" w:cs="Times New Roman"/>
          <w:color w:val="000000"/>
          <w:sz w:val="32"/>
          <w:szCs w:val="32"/>
          <w:u w:val="none"/>
          <w:lang w:val="en-US" w:eastAsia="zh-CN"/>
        </w:rPr>
        <w:t>报告</w:t>
      </w:r>
      <w:r>
        <w:rPr>
          <w:rFonts w:hint="eastAsia" w:ascii="仿宋" w:hAnsi="仿宋" w:eastAsia="仿宋" w:cs="Times New Roman"/>
          <w:color w:val="000000"/>
          <w:sz w:val="32"/>
          <w:szCs w:val="32"/>
          <w:u w:val="none"/>
        </w:rPr>
        <w:t>》</w:t>
      </w:r>
      <w:r>
        <w:rPr>
          <w:rFonts w:ascii="仿宋" w:hAnsi="仿宋" w:eastAsia="仿宋"/>
          <w:color w:val="000000"/>
          <w:sz w:val="32"/>
          <w:szCs w:val="32"/>
          <w:u w:val="none"/>
        </w:rPr>
        <w:t>，岳阳市生态环境局云溪分局的预审意见及有关附件收悉。经研究，批复如下：</w:t>
      </w:r>
    </w:p>
    <w:p>
      <w:pPr>
        <w:pStyle w:val="14"/>
        <w:keepNext w:val="0"/>
        <w:keepLines w:val="0"/>
        <w:pageBreakBefore w:val="0"/>
        <w:widowControl w:val="0"/>
        <w:kinsoku/>
        <w:wordWrap/>
        <w:overflowPunct/>
        <w:topLinePunct w:val="0"/>
        <w:autoSpaceDE/>
        <w:autoSpaceDN/>
        <w:bidi w:val="0"/>
        <w:adjustRightInd/>
        <w:snapToGrid/>
        <w:spacing w:after="0" w:line="480" w:lineRule="exact"/>
        <w:ind w:left="0" w:leftChars="0" w:firstLine="640" w:firstLineChars="200"/>
        <w:jc w:val="both"/>
        <w:textAlignment w:val="auto"/>
        <w:rPr>
          <w:rFonts w:hint="eastAsia" w:ascii="仿宋" w:hAnsi="仿宋" w:eastAsia="仿宋" w:cs="Times New Roman"/>
          <w:kern w:val="2"/>
          <w:sz w:val="32"/>
          <w:szCs w:val="32"/>
          <w:u w:val="none"/>
          <w:lang w:eastAsia="zh-CN"/>
        </w:rPr>
      </w:pPr>
      <w:r>
        <w:rPr>
          <w:rFonts w:ascii="仿宋" w:hAnsi="仿宋" w:eastAsia="仿宋"/>
          <w:color w:val="000000"/>
          <w:sz w:val="32"/>
          <w:szCs w:val="32"/>
          <w:u w:val="none"/>
        </w:rPr>
        <w:t>一、你公司拟投资</w:t>
      </w:r>
      <w:r>
        <w:rPr>
          <w:rFonts w:hint="eastAsia" w:ascii="仿宋" w:hAnsi="仿宋" w:eastAsia="仿宋" w:cs="Times New Roman"/>
          <w:sz w:val="32"/>
          <w:szCs w:val="32"/>
          <w:u w:val="none"/>
          <w:lang w:val="en-US" w:eastAsia="zh-CN"/>
        </w:rPr>
        <w:t>21200.24万元</w:t>
      </w:r>
      <w:r>
        <w:rPr>
          <w:rFonts w:ascii="仿宋" w:hAnsi="仿宋" w:eastAsia="仿宋"/>
          <w:color w:val="000000"/>
          <w:sz w:val="32"/>
          <w:szCs w:val="32"/>
          <w:u w:val="none"/>
        </w:rPr>
        <w:t>（环保投资</w:t>
      </w:r>
      <w:r>
        <w:rPr>
          <w:rFonts w:hint="eastAsia" w:ascii="仿宋" w:hAnsi="仿宋" w:eastAsia="仿宋" w:cs="Times New Roman"/>
          <w:sz w:val="32"/>
          <w:szCs w:val="32"/>
          <w:u w:val="none"/>
          <w:lang w:val="en-US" w:eastAsia="zh-CN"/>
        </w:rPr>
        <w:t>1040</w:t>
      </w:r>
      <w:r>
        <w:rPr>
          <w:rFonts w:ascii="仿宋" w:hAnsi="仿宋" w:eastAsia="仿宋"/>
          <w:color w:val="000000"/>
          <w:sz w:val="32"/>
          <w:szCs w:val="32"/>
          <w:u w:val="none"/>
        </w:rPr>
        <w:t>万元）</w:t>
      </w:r>
      <w:r>
        <w:rPr>
          <w:rFonts w:hint="eastAsia" w:ascii="仿宋" w:hAnsi="仿宋" w:eastAsia="仿宋"/>
          <w:color w:val="000000"/>
          <w:sz w:val="32"/>
          <w:szCs w:val="32"/>
          <w:u w:val="none"/>
          <w:lang w:eastAsia="zh-CN"/>
        </w:rPr>
        <w:t>，</w:t>
      </w:r>
      <w:r>
        <w:rPr>
          <w:rFonts w:hint="eastAsia" w:ascii="仿宋" w:hAnsi="仿宋" w:eastAsia="仿宋"/>
          <w:color w:val="000000"/>
          <w:sz w:val="32"/>
          <w:szCs w:val="32"/>
          <w:u w:val="none"/>
          <w:lang w:val="en-US" w:eastAsia="zh-CN"/>
        </w:rPr>
        <w:t>在</w:t>
      </w:r>
      <w:r>
        <w:rPr>
          <w:rFonts w:hint="eastAsia" w:ascii="仿宋_GB2312" w:hAnsi="仿宋_GB2312" w:eastAsia="仿宋_GB2312" w:cs="仿宋_GB2312"/>
          <w:color w:val="000000"/>
          <w:kern w:val="2"/>
          <w:sz w:val="32"/>
          <w:szCs w:val="32"/>
          <w:u w:val="none"/>
          <w:lang w:val="en-US" w:eastAsia="zh-CN" w:bidi="ar-SA"/>
        </w:rPr>
        <w:t>湖</w:t>
      </w:r>
      <w:r>
        <w:rPr>
          <w:rFonts w:hint="eastAsia" w:ascii="仿宋_GB2312" w:hAnsi="仿宋_GB2312" w:eastAsia="仿宋_GB2312" w:cs="仿宋_GB2312"/>
          <w:color w:val="000000"/>
          <w:kern w:val="2"/>
          <w:sz w:val="32"/>
          <w:szCs w:val="32"/>
          <w:lang w:val="en-US" w:eastAsia="zh-CN" w:bidi="ar-SA"/>
        </w:rPr>
        <w:t>南岳阳绿色化工高新技术产业开发区长岭片区</w:t>
      </w:r>
      <w:r>
        <w:rPr>
          <w:rFonts w:hint="eastAsia" w:ascii="仿宋" w:hAnsi="仿宋" w:eastAsia="仿宋"/>
          <w:color w:val="000000"/>
          <w:sz w:val="32"/>
          <w:szCs w:val="32"/>
          <w:u w:val="none"/>
          <w:lang w:val="en-US" w:eastAsia="zh-CN"/>
        </w:rPr>
        <w:t>新建</w:t>
      </w:r>
      <w:r>
        <w:rPr>
          <w:rFonts w:hint="eastAsia" w:ascii="仿宋_GB2312" w:hAnsi="仿宋_GB2312" w:eastAsia="仿宋_GB2312" w:cs="仿宋_GB2312"/>
          <w:color w:val="000000"/>
          <w:sz w:val="32"/>
          <w:szCs w:val="32"/>
          <w:lang w:val="en-US" w:eastAsia="zh-CN"/>
        </w:rPr>
        <w:t>年产2万吨三环氧丙基异氰尿酸酯、副产1.3万吨NaCl、0.3万吨多元醇建设项目</w:t>
      </w:r>
      <w:r>
        <w:rPr>
          <w:rFonts w:hint="eastAsia" w:ascii="仿宋" w:hAnsi="仿宋" w:eastAsia="仿宋" w:cs="Times New Roman"/>
          <w:sz w:val="32"/>
          <w:szCs w:val="32"/>
          <w:u w:val="none"/>
          <w:lang w:val="en-US" w:eastAsia="zh-CN"/>
        </w:rPr>
        <w:t>。项目</w:t>
      </w:r>
      <w:r>
        <w:rPr>
          <w:rFonts w:hint="eastAsia" w:ascii="仿宋" w:hAnsi="仿宋" w:eastAsia="仿宋"/>
          <w:color w:val="000000"/>
          <w:sz w:val="32"/>
          <w:szCs w:val="32"/>
          <w:u w:val="none"/>
          <w:lang w:val="en-US" w:eastAsia="zh-CN"/>
        </w:rPr>
        <w:t>净用</w:t>
      </w:r>
      <w:r>
        <w:rPr>
          <w:rFonts w:hint="eastAsia" w:ascii="仿宋" w:hAnsi="仿宋" w:eastAsia="仿宋" w:cs="Times New Roman"/>
          <w:sz w:val="32"/>
          <w:szCs w:val="32"/>
          <w:u w:val="none"/>
          <w:lang w:val="en-US" w:eastAsia="zh-CN"/>
        </w:rPr>
        <w:t>地面积299942.02m</w:t>
      </w:r>
      <w:r>
        <w:rPr>
          <w:rFonts w:hint="eastAsia" w:ascii="仿宋" w:hAnsi="仿宋" w:eastAsia="仿宋" w:cs="Times New Roman"/>
          <w:sz w:val="32"/>
          <w:szCs w:val="32"/>
          <w:u w:val="none"/>
          <w:vertAlign w:val="superscript"/>
          <w:lang w:val="en-US" w:eastAsia="zh-CN"/>
        </w:rPr>
        <w:t>2</w:t>
      </w:r>
      <w:r>
        <w:rPr>
          <w:rFonts w:hint="eastAsia" w:ascii="仿宋" w:hAnsi="仿宋" w:eastAsia="仿宋" w:cs="Times New Roman"/>
          <w:sz w:val="32"/>
          <w:szCs w:val="32"/>
          <w:u w:val="none"/>
          <w:lang w:val="en-US" w:eastAsia="zh-CN"/>
        </w:rPr>
        <w:t>，建筑面积11386.71m</w:t>
      </w:r>
      <w:r>
        <w:rPr>
          <w:rFonts w:hint="eastAsia" w:ascii="仿宋" w:hAnsi="仿宋" w:eastAsia="仿宋" w:cs="Times New Roman"/>
          <w:sz w:val="32"/>
          <w:szCs w:val="32"/>
          <w:u w:val="none"/>
          <w:vertAlign w:val="superscript"/>
          <w:lang w:val="en-US" w:eastAsia="zh-CN"/>
        </w:rPr>
        <w:t>2</w:t>
      </w:r>
      <w:r>
        <w:rPr>
          <w:rFonts w:hint="eastAsia" w:ascii="仿宋" w:hAnsi="仿宋" w:eastAsia="仿宋" w:cs="Times New Roman"/>
          <w:sz w:val="32"/>
          <w:szCs w:val="32"/>
          <w:u w:val="none"/>
          <w:lang w:val="en-US" w:eastAsia="zh-CN"/>
        </w:rPr>
        <w:t>，中心地理坐标东经113.363889°、北纬29.550556°</w:t>
      </w:r>
      <w:r>
        <w:rPr>
          <w:rFonts w:hint="eastAsia" w:ascii="仿宋" w:hAnsi="仿宋" w:eastAsia="仿宋" w:cs="Times New Roman"/>
          <w:color w:val="000000"/>
          <w:sz w:val="32"/>
          <w:szCs w:val="32"/>
          <w:u w:val="none"/>
          <w:lang w:val="en-US" w:eastAsia="zh-CN"/>
        </w:rPr>
        <w:t>。</w:t>
      </w:r>
      <w:r>
        <w:rPr>
          <w:rFonts w:hint="eastAsia" w:ascii="仿宋" w:hAnsi="仿宋" w:eastAsia="仿宋" w:cs="Times New Roman"/>
          <w:color w:val="000000"/>
          <w:sz w:val="32"/>
          <w:szCs w:val="32"/>
          <w:u w:val="none"/>
        </w:rPr>
        <w:t>主要建设内容包括：主体工程：新建</w:t>
      </w:r>
      <w:r>
        <w:rPr>
          <w:rFonts w:hint="eastAsia" w:ascii="仿宋" w:hAnsi="仿宋" w:eastAsia="仿宋" w:cs="Times New Roman"/>
          <w:color w:val="000000"/>
          <w:sz w:val="32"/>
          <w:szCs w:val="32"/>
          <w:u w:val="none"/>
          <w:lang w:val="en-US" w:eastAsia="zh-CN"/>
        </w:rPr>
        <w:t>生产车间3栋，</w:t>
      </w:r>
      <w:r>
        <w:rPr>
          <w:rFonts w:hint="eastAsia" w:ascii="仿宋" w:hAnsi="仿宋" w:eastAsia="仿宋" w:cs="Times New Roman"/>
          <w:color w:val="000000"/>
          <w:sz w:val="32"/>
          <w:szCs w:val="32"/>
          <w:u w:val="none"/>
        </w:rPr>
        <w:t>1</w:t>
      </w:r>
      <w:r>
        <w:rPr>
          <w:rFonts w:hint="eastAsia" w:ascii="仿宋" w:hAnsi="仿宋" w:eastAsia="仿宋" w:cs="Times New Roman"/>
          <w:color w:val="000000"/>
          <w:sz w:val="32"/>
          <w:szCs w:val="32"/>
          <w:u w:val="none"/>
          <w:vertAlign w:val="superscript"/>
        </w:rPr>
        <w:t>#</w:t>
      </w:r>
      <w:r>
        <w:rPr>
          <w:rFonts w:hint="eastAsia" w:ascii="仿宋" w:hAnsi="仿宋" w:eastAsia="仿宋" w:cs="Times New Roman"/>
          <w:color w:val="000000"/>
          <w:sz w:val="32"/>
          <w:szCs w:val="32"/>
          <w:u w:val="none"/>
          <w:lang w:val="en-US" w:eastAsia="zh-CN"/>
        </w:rPr>
        <w:t>、</w:t>
      </w:r>
      <w:r>
        <w:rPr>
          <w:rFonts w:hint="eastAsia" w:ascii="仿宋" w:hAnsi="仿宋" w:eastAsia="仿宋" w:cs="Times New Roman"/>
          <w:color w:val="000000"/>
          <w:sz w:val="32"/>
          <w:szCs w:val="32"/>
          <w:u w:val="none"/>
        </w:rPr>
        <w:t>2</w:t>
      </w:r>
      <w:r>
        <w:rPr>
          <w:rFonts w:hint="eastAsia" w:ascii="仿宋" w:hAnsi="仿宋" w:eastAsia="仿宋" w:cs="Times New Roman"/>
          <w:color w:val="000000"/>
          <w:sz w:val="32"/>
          <w:szCs w:val="32"/>
          <w:u w:val="none"/>
          <w:vertAlign w:val="superscript"/>
        </w:rPr>
        <w:t>#</w:t>
      </w:r>
      <w:r>
        <w:rPr>
          <w:rFonts w:hint="eastAsia" w:ascii="仿宋" w:hAnsi="仿宋" w:eastAsia="仿宋" w:cs="Times New Roman"/>
          <w:color w:val="000000"/>
          <w:sz w:val="32"/>
          <w:szCs w:val="32"/>
          <w:u w:val="none"/>
          <w:vertAlign w:val="baseline"/>
          <w:lang w:val="en-US" w:eastAsia="zh-CN"/>
        </w:rPr>
        <w:t>生产车间共布置8条生产线（一期为4条），3</w:t>
      </w:r>
      <w:r>
        <w:rPr>
          <w:rFonts w:hint="eastAsia" w:ascii="仿宋" w:hAnsi="仿宋" w:eastAsia="仿宋" w:cs="Times New Roman"/>
          <w:color w:val="000000"/>
          <w:sz w:val="32"/>
          <w:szCs w:val="32"/>
          <w:u w:val="none"/>
          <w:vertAlign w:val="superscript"/>
        </w:rPr>
        <w:t>#</w:t>
      </w:r>
      <w:r>
        <w:rPr>
          <w:rFonts w:hint="eastAsia" w:ascii="仿宋" w:hAnsi="仿宋" w:eastAsia="仿宋" w:cs="Times New Roman"/>
          <w:color w:val="000000"/>
          <w:sz w:val="32"/>
          <w:szCs w:val="32"/>
          <w:u w:val="none"/>
          <w:vertAlign w:val="baseline"/>
          <w:lang w:val="en-US" w:eastAsia="zh-CN"/>
        </w:rPr>
        <w:t>车间设置为机修车间</w:t>
      </w:r>
      <w:r>
        <w:rPr>
          <w:rFonts w:hint="default" w:ascii="仿宋" w:hAnsi="仿宋" w:eastAsia="仿宋" w:cs="Times New Roman"/>
          <w:color w:val="000000"/>
          <w:sz w:val="32"/>
          <w:szCs w:val="32"/>
          <w:u w:val="none"/>
          <w:vertAlign w:val="baseline"/>
          <w:lang w:eastAsia="zh-CN"/>
        </w:rPr>
        <w:t>；</w:t>
      </w:r>
      <w:r>
        <w:rPr>
          <w:rFonts w:hint="eastAsia" w:ascii="仿宋" w:hAnsi="仿宋" w:eastAsia="仿宋" w:cs="Times New Roman"/>
          <w:color w:val="000000"/>
          <w:sz w:val="32"/>
          <w:szCs w:val="32"/>
          <w:u w:val="none"/>
        </w:rPr>
        <w:t>储运工程：</w:t>
      </w:r>
      <w:r>
        <w:rPr>
          <w:rFonts w:hint="eastAsia" w:ascii="仿宋" w:hAnsi="仿宋" w:eastAsia="仿宋" w:cs="Times New Roman"/>
          <w:color w:val="000000"/>
          <w:sz w:val="32"/>
          <w:szCs w:val="32"/>
          <w:u w:val="none"/>
          <w:lang w:val="en-US" w:eastAsia="zh-CN"/>
        </w:rPr>
        <w:t>新建</w:t>
      </w:r>
      <w:r>
        <w:rPr>
          <w:rFonts w:hint="eastAsia" w:ascii="仿宋" w:hAnsi="仿宋" w:eastAsia="仿宋" w:cs="Times New Roman"/>
          <w:color w:val="000000"/>
          <w:sz w:val="32"/>
          <w:szCs w:val="32"/>
          <w:u w:val="none"/>
        </w:rPr>
        <w:t>罐区</w:t>
      </w:r>
      <w:r>
        <w:rPr>
          <w:rFonts w:hint="eastAsia" w:ascii="仿宋" w:hAnsi="仿宋" w:eastAsia="仿宋" w:cs="Times New Roman"/>
          <w:color w:val="000000"/>
          <w:sz w:val="32"/>
          <w:szCs w:val="32"/>
          <w:u w:val="none"/>
          <w:lang w:eastAsia="zh-CN"/>
        </w:rPr>
        <w:t>（</w:t>
      </w:r>
      <w:r>
        <w:rPr>
          <w:rFonts w:hint="eastAsia" w:ascii="仿宋" w:hAnsi="仿宋" w:eastAsia="仿宋" w:cs="Times New Roman"/>
          <w:color w:val="000000"/>
          <w:sz w:val="32"/>
          <w:szCs w:val="32"/>
          <w:u w:val="none"/>
          <w:lang w:val="en-US" w:eastAsia="zh-CN"/>
        </w:rPr>
        <w:t>4座200</w:t>
      </w:r>
      <w:r>
        <w:rPr>
          <w:rFonts w:hint="eastAsia" w:ascii="仿宋" w:hAnsi="仿宋" w:eastAsia="仿宋" w:cs="Times New Roman"/>
          <w:color w:val="000000"/>
          <w:sz w:val="32"/>
          <w:szCs w:val="32"/>
          <w:u w:val="none"/>
        </w:rPr>
        <w:t>m</w:t>
      </w:r>
      <w:r>
        <w:rPr>
          <w:rFonts w:hint="eastAsia" w:ascii="仿宋" w:hAnsi="仿宋" w:eastAsia="仿宋" w:cs="Times New Roman"/>
          <w:color w:val="000000"/>
          <w:sz w:val="32"/>
          <w:szCs w:val="32"/>
          <w:u w:val="none"/>
          <w:vertAlign w:val="superscript"/>
          <w:lang w:val="en-US" w:eastAsia="zh-CN"/>
        </w:rPr>
        <w:t>3</w:t>
      </w:r>
      <w:r>
        <w:rPr>
          <w:rFonts w:hint="eastAsia" w:ascii="仿宋" w:hAnsi="仿宋" w:eastAsia="仿宋" w:cs="Times New Roman"/>
          <w:color w:val="000000"/>
          <w:sz w:val="32"/>
          <w:szCs w:val="32"/>
          <w:u w:val="none"/>
          <w:lang w:val="en-US" w:eastAsia="zh-CN"/>
        </w:rPr>
        <w:t>储罐</w:t>
      </w:r>
      <w:r>
        <w:rPr>
          <w:rFonts w:hint="eastAsia" w:ascii="仿宋" w:hAnsi="仿宋" w:eastAsia="仿宋" w:cs="Times New Roman"/>
          <w:color w:val="000000"/>
          <w:sz w:val="32"/>
          <w:szCs w:val="32"/>
          <w:u w:val="none"/>
          <w:lang w:eastAsia="zh-CN"/>
        </w:rPr>
        <w:t>）</w:t>
      </w:r>
      <w:r>
        <w:rPr>
          <w:rFonts w:hint="eastAsia" w:ascii="仿宋" w:hAnsi="仿宋" w:eastAsia="仿宋" w:cs="Times New Roman"/>
          <w:color w:val="000000"/>
          <w:sz w:val="32"/>
          <w:szCs w:val="32"/>
          <w:u w:val="none"/>
          <w:lang w:val="en-US" w:eastAsia="zh-CN"/>
        </w:rPr>
        <w:t>和2栋综合性仓库等</w:t>
      </w:r>
      <w:r>
        <w:rPr>
          <w:rFonts w:hint="eastAsia" w:ascii="仿宋" w:hAnsi="仿宋" w:eastAsia="仿宋" w:cs="Times New Roman"/>
          <w:color w:val="000000"/>
          <w:sz w:val="32"/>
          <w:szCs w:val="32"/>
          <w:u w:val="none"/>
          <w:lang w:eastAsia="zh-CN"/>
        </w:rPr>
        <w:t>；</w:t>
      </w:r>
      <w:r>
        <w:rPr>
          <w:rFonts w:hint="eastAsia" w:ascii="仿宋" w:hAnsi="仿宋" w:eastAsia="仿宋" w:cs="Times New Roman"/>
          <w:color w:val="000000"/>
          <w:sz w:val="32"/>
          <w:szCs w:val="32"/>
          <w:u w:val="none"/>
          <w:lang w:val="en-US" w:eastAsia="zh-CN"/>
        </w:rPr>
        <w:t>辅助工程：中控室1座，品控楼1栋，门卫室及辅助用房设备区</w:t>
      </w:r>
      <w:r>
        <w:rPr>
          <w:rFonts w:hint="eastAsia" w:ascii="仿宋" w:hAnsi="仿宋" w:eastAsia="仿宋" w:cs="Times New Roman"/>
          <w:color w:val="000000"/>
          <w:sz w:val="32"/>
          <w:szCs w:val="32"/>
          <w:u w:val="none"/>
        </w:rPr>
        <w:t>；</w:t>
      </w:r>
      <w:r>
        <w:rPr>
          <w:rFonts w:ascii="仿宋" w:hAnsi="仿宋" w:eastAsia="仿宋"/>
          <w:color w:val="000000"/>
          <w:sz w:val="32"/>
          <w:szCs w:val="32"/>
          <w:u w:val="none"/>
        </w:rPr>
        <w:t>公用</w:t>
      </w:r>
      <w:r>
        <w:rPr>
          <w:rFonts w:hint="eastAsia" w:ascii="仿宋" w:hAnsi="仿宋" w:eastAsia="仿宋" w:cs="Times New Roman"/>
          <w:color w:val="000000"/>
          <w:sz w:val="32"/>
          <w:szCs w:val="32"/>
          <w:u w:val="none"/>
          <w:lang w:val="en-US" w:eastAsia="zh-CN"/>
        </w:rPr>
        <w:t>工程：给排水、供电、消防工程和循环冷却水系统、制冷系统等；配套建设</w:t>
      </w:r>
      <w:r>
        <w:rPr>
          <w:rFonts w:hint="eastAsia" w:ascii="仿宋" w:hAnsi="仿宋" w:eastAsia="仿宋" w:cs="Times New Roman"/>
          <w:color w:val="000000"/>
          <w:sz w:val="32"/>
          <w:szCs w:val="32"/>
          <w:u w:val="none"/>
        </w:rPr>
        <w:t>废气、废水处理</w:t>
      </w:r>
      <w:r>
        <w:rPr>
          <w:rFonts w:hint="eastAsia" w:ascii="仿宋" w:hAnsi="仿宋" w:eastAsia="仿宋" w:cs="Times New Roman"/>
          <w:color w:val="000000"/>
          <w:sz w:val="32"/>
          <w:szCs w:val="32"/>
          <w:u w:val="none"/>
          <w:lang w:eastAsia="zh-CN"/>
        </w:rPr>
        <w:t>、</w:t>
      </w:r>
      <w:r>
        <w:rPr>
          <w:rFonts w:hint="eastAsia" w:ascii="仿宋" w:hAnsi="仿宋" w:eastAsia="仿宋" w:cs="Times New Roman"/>
          <w:color w:val="000000"/>
          <w:sz w:val="32"/>
          <w:szCs w:val="32"/>
          <w:u w:val="none"/>
          <w:lang w:val="en-US" w:eastAsia="zh-CN"/>
        </w:rPr>
        <w:t>噪声防治、危废暂存间、一般固废间</w:t>
      </w:r>
      <w:r>
        <w:rPr>
          <w:rFonts w:hint="eastAsia" w:ascii="仿宋" w:hAnsi="仿宋" w:eastAsia="仿宋" w:cs="Times New Roman"/>
          <w:color w:val="000000"/>
          <w:sz w:val="32"/>
          <w:szCs w:val="32"/>
          <w:u w:val="none"/>
        </w:rPr>
        <w:t>等环保工程以及应急设施等</w:t>
      </w:r>
      <w:r>
        <w:rPr>
          <w:rFonts w:ascii="仿宋" w:hAnsi="仿宋" w:eastAsia="仿宋"/>
          <w:color w:val="000000"/>
          <w:sz w:val="32"/>
          <w:szCs w:val="32"/>
          <w:u w:val="none"/>
        </w:rPr>
        <w:t>。</w:t>
      </w:r>
      <w:r>
        <w:rPr>
          <w:rFonts w:hint="eastAsia" w:ascii="仿宋" w:hAnsi="仿宋" w:eastAsia="仿宋"/>
          <w:color w:val="000000"/>
          <w:sz w:val="32"/>
          <w:szCs w:val="32"/>
          <w:u w:val="none"/>
          <w:lang w:val="en-US" w:eastAsia="zh-CN"/>
        </w:rPr>
        <w:t>项目供热工程依托园区集中供热项目。</w:t>
      </w:r>
      <w:r>
        <w:rPr>
          <w:rFonts w:hint="eastAsia" w:ascii="仿宋" w:hAnsi="仿宋" w:eastAsia="仿宋" w:cs="Times New Roman"/>
          <w:color w:val="000000"/>
          <w:sz w:val="32"/>
          <w:szCs w:val="32"/>
          <w:u w:val="none"/>
          <w:lang w:val="en-US" w:eastAsia="zh-CN"/>
        </w:rPr>
        <w:t>主要原辅材料为</w:t>
      </w:r>
      <w:r>
        <w:rPr>
          <w:rFonts w:hint="eastAsia" w:ascii="仿宋" w:hAnsi="仿宋" w:eastAsia="仿宋" w:cs="宋体"/>
          <w:color w:val="000000"/>
          <w:sz w:val="32"/>
          <w:szCs w:val="32"/>
          <w:u w:val="none"/>
          <w:lang w:val="en-US" w:eastAsia="zh-CN"/>
        </w:rPr>
        <w:t>环</w:t>
      </w:r>
      <w:r>
        <w:rPr>
          <w:rFonts w:hint="eastAsia" w:ascii="仿宋" w:hAnsi="仿宋" w:eastAsia="仿宋" w:cs="Times New Roman"/>
          <w:color w:val="000000"/>
          <w:sz w:val="32"/>
          <w:szCs w:val="32"/>
          <w:u w:val="none"/>
          <w:lang w:val="en-US" w:eastAsia="zh-CN"/>
        </w:rPr>
        <w:t>氧氯丙烷（ECH）、氰尿酸、苄基三甲基氯化铵、甲醇、片碱等。</w:t>
      </w:r>
      <w:r>
        <w:rPr>
          <w:rFonts w:ascii="仿宋" w:hAnsi="仿宋" w:eastAsia="仿宋"/>
          <w:color w:val="000000"/>
          <w:sz w:val="32"/>
          <w:szCs w:val="32"/>
          <w:u w:val="none"/>
        </w:rPr>
        <w:t>项目已取得岳阳市云溪区发展和改革局的备案</w:t>
      </w:r>
      <w:r>
        <w:rPr>
          <w:rFonts w:hint="eastAsia" w:ascii="仿宋" w:hAnsi="仿宋" w:eastAsia="仿宋"/>
          <w:color w:val="000000"/>
          <w:sz w:val="32"/>
          <w:szCs w:val="32"/>
          <w:u w:val="none"/>
          <w:lang w:val="en-US" w:eastAsia="zh-CN"/>
        </w:rPr>
        <w:t>文件</w:t>
      </w:r>
      <w:r>
        <w:rPr>
          <w:rFonts w:ascii="仿宋" w:hAnsi="仿宋" w:eastAsia="仿宋"/>
          <w:color w:val="000000"/>
          <w:sz w:val="32"/>
          <w:szCs w:val="32"/>
          <w:u w:val="none"/>
        </w:rPr>
        <w:t>（岳云发改备</w:t>
      </w:r>
      <w:r>
        <w:rPr>
          <w:rFonts w:hint="eastAsia" w:ascii="仿宋" w:hAnsi="仿宋" w:eastAsia="仿宋"/>
          <w:color w:val="000000"/>
          <w:sz w:val="32"/>
          <w:szCs w:val="32"/>
          <w:u w:val="none"/>
        </w:rPr>
        <w:t>〔</w:t>
      </w:r>
      <w:r>
        <w:rPr>
          <w:rFonts w:ascii="仿宋" w:hAnsi="仿宋" w:eastAsia="仿宋"/>
          <w:color w:val="000000"/>
          <w:sz w:val="32"/>
          <w:szCs w:val="32"/>
          <w:u w:val="none"/>
        </w:rPr>
        <w:t>20</w:t>
      </w:r>
      <w:r>
        <w:rPr>
          <w:rFonts w:hint="eastAsia" w:ascii="仿宋" w:hAnsi="仿宋" w:eastAsia="仿宋"/>
          <w:color w:val="000000"/>
          <w:sz w:val="32"/>
          <w:szCs w:val="32"/>
          <w:u w:val="none"/>
          <w:lang w:val="en-US" w:eastAsia="zh-CN"/>
        </w:rPr>
        <w:t>22</w:t>
      </w:r>
      <w:r>
        <w:rPr>
          <w:rFonts w:hint="eastAsia" w:ascii="仿宋" w:hAnsi="仿宋" w:eastAsia="仿宋"/>
          <w:color w:val="000000"/>
          <w:sz w:val="32"/>
          <w:szCs w:val="32"/>
          <w:u w:val="none"/>
        </w:rPr>
        <w:t>〕</w:t>
      </w:r>
      <w:r>
        <w:rPr>
          <w:rFonts w:hint="eastAsia" w:ascii="仿宋" w:hAnsi="仿宋" w:eastAsia="仿宋"/>
          <w:color w:val="000000"/>
          <w:sz w:val="32"/>
          <w:szCs w:val="32"/>
          <w:u w:val="none"/>
          <w:lang w:val="en-US" w:eastAsia="zh-CN"/>
        </w:rPr>
        <w:t>11</w:t>
      </w:r>
      <w:r>
        <w:rPr>
          <w:rFonts w:ascii="仿宋" w:hAnsi="仿宋" w:eastAsia="仿宋"/>
          <w:color w:val="000000"/>
          <w:sz w:val="32"/>
          <w:szCs w:val="32"/>
          <w:u w:val="none"/>
        </w:rPr>
        <w:t>号）。根据</w:t>
      </w:r>
      <w:r>
        <w:rPr>
          <w:rFonts w:hint="eastAsia" w:ascii="仿宋" w:hAnsi="仿宋" w:eastAsia="仿宋" w:cs="Times New Roman"/>
          <w:kern w:val="2"/>
          <w:sz w:val="32"/>
          <w:szCs w:val="32"/>
          <w:u w:val="none"/>
          <w:lang w:eastAsia="zh-CN"/>
        </w:rPr>
        <w:t>湖南环腾环保工程有限公司</w:t>
      </w:r>
      <w:r>
        <w:rPr>
          <w:rFonts w:ascii="仿宋" w:hAnsi="仿宋" w:eastAsia="仿宋"/>
          <w:color w:val="000000"/>
          <w:sz w:val="32"/>
          <w:szCs w:val="32"/>
          <w:u w:val="none"/>
        </w:rPr>
        <w:t>编</w:t>
      </w:r>
      <w:r>
        <w:rPr>
          <w:rFonts w:hint="eastAsia" w:ascii="仿宋" w:hAnsi="仿宋" w:eastAsia="仿宋" w:cs="Times New Roman"/>
          <w:kern w:val="2"/>
          <w:sz w:val="32"/>
          <w:szCs w:val="32"/>
          <w:u w:val="none"/>
        </w:rPr>
        <w:t>制的</w:t>
      </w:r>
      <w:r>
        <w:rPr>
          <w:rFonts w:hint="eastAsia" w:ascii="仿宋" w:hAnsi="仿宋" w:eastAsia="仿宋" w:cs="Times New Roman"/>
          <w:color w:val="000000"/>
          <w:sz w:val="32"/>
          <w:szCs w:val="32"/>
          <w:u w:val="none"/>
        </w:rPr>
        <w:t>《</w:t>
      </w:r>
      <w:r>
        <w:rPr>
          <w:rFonts w:hint="eastAsia" w:ascii="仿宋" w:hAnsi="仿宋" w:eastAsia="仿宋" w:cs="Times New Roman"/>
          <w:color w:val="000000"/>
          <w:sz w:val="32"/>
          <w:szCs w:val="32"/>
          <w:u w:val="none"/>
          <w:lang w:eastAsia="zh-CN"/>
        </w:rPr>
        <w:t>湖南泽明新材料有限公司</w:t>
      </w:r>
      <w:r>
        <w:rPr>
          <w:rFonts w:hint="eastAsia" w:ascii="仿宋_GB2312" w:hAnsi="仿宋_GB2312" w:eastAsia="仿宋_GB2312" w:cs="仿宋_GB2312"/>
          <w:color w:val="000000"/>
          <w:sz w:val="32"/>
          <w:szCs w:val="32"/>
          <w:u w:val="none"/>
          <w:lang w:val="en-US" w:eastAsia="zh-CN"/>
        </w:rPr>
        <w:t>年产2万吨三环氧丙基异氰尿酸酯、副产1.3万吨NaCl、0.3万吨多元醇建设项目</w:t>
      </w:r>
      <w:r>
        <w:rPr>
          <w:rFonts w:hint="eastAsia" w:ascii="仿宋" w:hAnsi="仿宋" w:eastAsia="仿宋" w:cs="Times New Roman"/>
          <w:color w:val="000000"/>
          <w:sz w:val="32"/>
          <w:szCs w:val="32"/>
          <w:u w:val="none"/>
          <w:lang w:eastAsia="zh-CN"/>
        </w:rPr>
        <w:t>环境影</w:t>
      </w:r>
      <w:r>
        <w:rPr>
          <w:rFonts w:hint="eastAsia" w:ascii="仿宋" w:hAnsi="仿宋" w:eastAsia="仿宋" w:cs="Times New Roman"/>
          <w:kern w:val="2"/>
          <w:sz w:val="32"/>
          <w:szCs w:val="32"/>
          <w:u w:val="none"/>
          <w:lang w:eastAsia="zh-CN"/>
        </w:rPr>
        <w:t>响报告书（报批稿）》基本内容、结论、专家评审意见及岳阳市生态环境局云溪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kern w:val="2"/>
          <w:sz w:val="32"/>
          <w:szCs w:val="32"/>
          <w:u w:val="none"/>
          <w:lang w:eastAsia="zh-CN"/>
        </w:rPr>
      </w:pPr>
      <w:r>
        <w:rPr>
          <w:rFonts w:hint="eastAsia" w:ascii="仿宋" w:hAnsi="仿宋" w:eastAsia="仿宋" w:cs="Times New Roman"/>
          <w:kern w:val="2"/>
          <w:sz w:val="32"/>
          <w:szCs w:val="32"/>
          <w:u w:val="none"/>
          <w:lang w:eastAsia="zh-CN"/>
        </w:rPr>
        <w:t>二、项目建设和运营必须全面落实环境影响报告书提出的各项环保措施，并着重做好以下工作：</w:t>
      </w:r>
    </w:p>
    <w:p>
      <w:pPr>
        <w:keepNext w:val="0"/>
        <w:keepLines w:val="0"/>
        <w:pageBreakBefore w:val="0"/>
        <w:widowControl w:val="0"/>
        <w:kinsoku/>
        <w:wordWrap/>
        <w:overflowPunct/>
        <w:topLinePunct w:val="0"/>
        <w:autoSpaceDE w:val="0"/>
        <w:autoSpaceDN/>
        <w:bidi w:val="0"/>
        <w:adjustRightInd/>
        <w:snapToGrid/>
        <w:spacing w:line="480" w:lineRule="exact"/>
        <w:ind w:firstLine="640"/>
        <w:textAlignment w:val="auto"/>
        <w:rPr>
          <w:rFonts w:ascii="仿宋" w:hAnsi="仿宋" w:eastAsia="仿宋"/>
          <w:sz w:val="32"/>
          <w:szCs w:val="32"/>
          <w:u w:val="none"/>
        </w:rPr>
      </w:pPr>
      <w:bookmarkStart w:id="0" w:name="OLE_LINK2"/>
      <w:bookmarkEnd w:id="0"/>
      <w:r>
        <w:rPr>
          <w:rFonts w:hint="eastAsia" w:ascii="仿宋" w:hAnsi="仿宋" w:eastAsia="仿宋"/>
          <w:sz w:val="32"/>
          <w:szCs w:val="32"/>
          <w:u w:val="none"/>
        </w:rPr>
        <w:t>（一）施工期环境管理工作。</w:t>
      </w:r>
      <w:r>
        <w:rPr>
          <w:rFonts w:hint="eastAsia" w:ascii="仿宋" w:hAnsi="仿宋" w:eastAsia="仿宋" w:cs="宋体"/>
          <w:sz w:val="32"/>
          <w:szCs w:val="32"/>
          <w:u w:val="none"/>
        </w:rPr>
        <w:t>加强施工期环境管理，优化施工工艺，科学施工</w:t>
      </w:r>
      <w:r>
        <w:rPr>
          <w:rFonts w:hint="eastAsia" w:ascii="仿宋" w:hAnsi="仿宋" w:eastAsia="仿宋"/>
          <w:sz w:val="32"/>
          <w:szCs w:val="32"/>
          <w:u w:val="none"/>
        </w:rPr>
        <w:t>。</w:t>
      </w:r>
      <w:r>
        <w:rPr>
          <w:rFonts w:hint="eastAsia" w:ascii="仿宋" w:hAnsi="仿宋" w:eastAsia="仿宋" w:cs="宋体"/>
          <w:sz w:val="32"/>
          <w:szCs w:val="32"/>
          <w:u w:val="none"/>
        </w:rPr>
        <w:t>施工废水经沉淀池处理后回用于洒水抑尘；施工人员生活污水</w:t>
      </w:r>
      <w:r>
        <w:rPr>
          <w:rFonts w:hint="eastAsia" w:ascii="仿宋" w:hAnsi="仿宋" w:eastAsia="仿宋" w:cs="宋体"/>
          <w:sz w:val="32"/>
          <w:szCs w:val="32"/>
          <w:u w:val="none"/>
          <w:lang w:val="en-US" w:eastAsia="zh-CN"/>
        </w:rPr>
        <w:t>依托园区现有设施。</w:t>
      </w:r>
      <w:r>
        <w:rPr>
          <w:rFonts w:hint="eastAsia" w:ascii="仿宋" w:hAnsi="仿宋" w:eastAsia="仿宋"/>
          <w:sz w:val="32"/>
          <w:szCs w:val="32"/>
          <w:u w:val="none"/>
        </w:rPr>
        <w:t>选用低噪声设备，合理安排施工时间和运输路线，确保施工噪声满足《建筑施工场界环境噪声排放标准》（GB12523-2011）要求。强化施工扬尘防治措施，采取洒水抑尘、围挡、覆盖等措施，使用商品混凝土</w:t>
      </w:r>
      <w:r>
        <w:rPr>
          <w:rFonts w:hint="eastAsia" w:ascii="仿宋" w:hAnsi="仿宋" w:eastAsia="仿宋"/>
          <w:sz w:val="32"/>
          <w:szCs w:val="32"/>
          <w:u w:val="none"/>
          <w:lang w:eastAsia="zh-CN"/>
        </w:rPr>
        <w:t>，土石</w:t>
      </w:r>
      <w:r>
        <w:rPr>
          <w:rFonts w:hint="eastAsia" w:ascii="仿宋" w:hAnsi="仿宋" w:eastAsia="仿宋"/>
          <w:sz w:val="32"/>
          <w:szCs w:val="32"/>
          <w:u w:val="none"/>
          <w:lang w:val="en-US" w:eastAsia="zh-CN"/>
        </w:rPr>
        <w:t>等易产尘物料</w:t>
      </w:r>
      <w:r>
        <w:rPr>
          <w:rFonts w:hint="eastAsia" w:ascii="仿宋" w:hAnsi="仿宋" w:eastAsia="仿宋"/>
          <w:sz w:val="32"/>
          <w:szCs w:val="32"/>
          <w:u w:val="none"/>
          <w:lang w:eastAsia="zh-CN"/>
        </w:rPr>
        <w:t>密闭运输</w:t>
      </w:r>
      <w:r>
        <w:rPr>
          <w:rFonts w:hint="eastAsia" w:ascii="仿宋" w:hAnsi="仿宋" w:eastAsia="仿宋"/>
          <w:sz w:val="32"/>
          <w:szCs w:val="32"/>
          <w:u w:val="none"/>
        </w:rPr>
        <w:t>。建筑垃圾收集后交相关部门统一处理。</w:t>
      </w:r>
    </w:p>
    <w:p>
      <w:pPr>
        <w:keepNext w:val="0"/>
        <w:keepLines w:val="0"/>
        <w:pageBreakBefore w:val="0"/>
        <w:widowControl w:val="0"/>
        <w:kinsoku/>
        <w:wordWrap/>
        <w:overflowPunct/>
        <w:topLinePunct w:val="0"/>
        <w:autoSpaceDE w:val="0"/>
        <w:autoSpaceDN/>
        <w:bidi w:val="0"/>
        <w:adjustRightInd/>
        <w:snapToGrid/>
        <w:spacing w:line="480"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宋体"/>
          <w:sz w:val="32"/>
          <w:szCs w:val="32"/>
          <w:u w:val="none"/>
        </w:rPr>
        <w:t>（二）废气污染防治工作。严格控制项目废气污染，规范建设废气集排气系统</w:t>
      </w:r>
      <w:r>
        <w:rPr>
          <w:rFonts w:hint="eastAsia" w:ascii="仿宋" w:hAnsi="仿宋" w:eastAsia="仿宋" w:cs="宋体"/>
          <w:sz w:val="32"/>
          <w:szCs w:val="32"/>
          <w:u w:val="none"/>
          <w:lang w:val="en-US" w:eastAsia="zh-CN"/>
        </w:rPr>
        <w:t>和处理设施</w:t>
      </w:r>
      <w:r>
        <w:rPr>
          <w:rFonts w:hint="eastAsia" w:ascii="仿宋" w:hAnsi="仿宋" w:eastAsia="仿宋" w:cs="宋体"/>
          <w:sz w:val="32"/>
          <w:szCs w:val="32"/>
          <w:u w:val="none"/>
        </w:rPr>
        <w:t>，</w:t>
      </w:r>
      <w:r>
        <w:rPr>
          <w:rFonts w:hint="eastAsia" w:ascii="仿宋" w:hAnsi="仿宋" w:eastAsia="仿宋" w:cs="宋体"/>
          <w:sz w:val="32"/>
          <w:szCs w:val="32"/>
          <w:u w:val="none"/>
          <w:lang w:val="en-US" w:eastAsia="zh-CN"/>
        </w:rPr>
        <w:t>原料配制及生产过程采取密闭措施。</w:t>
      </w:r>
      <w:r>
        <w:rPr>
          <w:rFonts w:hint="eastAsia" w:ascii="仿宋" w:hAnsi="仿宋" w:eastAsia="仿宋" w:cs="宋体"/>
          <w:sz w:val="32"/>
          <w:szCs w:val="32"/>
          <w:u w:val="none"/>
        </w:rPr>
        <w:t>项目</w:t>
      </w:r>
      <w:r>
        <w:rPr>
          <w:rFonts w:hint="eastAsia" w:ascii="仿宋" w:hAnsi="仿宋" w:eastAsia="仿宋" w:cs="宋体"/>
          <w:sz w:val="32"/>
          <w:szCs w:val="32"/>
          <w:u w:val="none"/>
          <w:lang w:val="en-US" w:eastAsia="zh-CN"/>
        </w:rPr>
        <w:t>产生的环氧氯丙烷</w:t>
      </w:r>
      <w:r>
        <w:rPr>
          <w:rFonts w:hint="eastAsia" w:ascii="仿宋" w:hAnsi="仿宋" w:eastAsia="仿宋" w:cs="宋体"/>
          <w:sz w:val="32"/>
          <w:szCs w:val="32"/>
          <w:u w:val="none"/>
        </w:rPr>
        <w:t>废气</w:t>
      </w:r>
      <w:r>
        <w:rPr>
          <w:rFonts w:hint="eastAsia" w:ascii="仿宋" w:hAnsi="仿宋" w:eastAsia="仿宋" w:cs="宋体"/>
          <w:sz w:val="32"/>
          <w:szCs w:val="32"/>
          <w:u w:val="none"/>
          <w:lang w:val="en-US" w:eastAsia="zh-CN"/>
        </w:rPr>
        <w:t>经收集</w:t>
      </w:r>
      <w:r>
        <w:rPr>
          <w:rFonts w:hint="eastAsia" w:ascii="仿宋" w:hAnsi="仿宋" w:eastAsia="仿宋" w:cs="宋体"/>
          <w:sz w:val="32"/>
          <w:szCs w:val="32"/>
          <w:u w:val="none"/>
        </w:rPr>
        <w:t>，经“冷凝+树脂吸附”处理</w:t>
      </w:r>
      <w:r>
        <w:rPr>
          <w:rFonts w:hint="eastAsia" w:ascii="仿宋" w:hAnsi="仿宋" w:eastAsia="仿宋" w:cs="宋体"/>
          <w:sz w:val="32"/>
          <w:szCs w:val="32"/>
          <w:u w:val="none"/>
          <w:lang w:val="en-US" w:eastAsia="zh-CN"/>
        </w:rPr>
        <w:t>；甲醇</w:t>
      </w:r>
      <w:r>
        <w:rPr>
          <w:rFonts w:hint="eastAsia" w:ascii="仿宋" w:hAnsi="仿宋" w:eastAsia="仿宋" w:cs="宋体"/>
          <w:sz w:val="32"/>
          <w:szCs w:val="32"/>
          <w:u w:val="none"/>
        </w:rPr>
        <w:t>废气经“冷凝+水吸收+树脂吸附”处理</w:t>
      </w:r>
      <w:r>
        <w:rPr>
          <w:rFonts w:hint="eastAsia" w:ascii="仿宋" w:hAnsi="仿宋" w:eastAsia="仿宋" w:cs="宋体"/>
          <w:sz w:val="32"/>
          <w:szCs w:val="32"/>
          <w:u w:val="none"/>
          <w:lang w:val="en-US" w:eastAsia="zh-CN"/>
        </w:rPr>
        <w:t>；以上有组织废气</w:t>
      </w:r>
      <w:r>
        <w:rPr>
          <w:rFonts w:hint="eastAsia" w:ascii="仿宋" w:hAnsi="仿宋" w:eastAsia="仿宋" w:cs="宋体"/>
          <w:sz w:val="32"/>
          <w:szCs w:val="32"/>
          <w:u w:val="none"/>
        </w:rPr>
        <w:t>满足《石油化学工业污染物排放标准》（GB31571-2015）中相关标准限值要求</w:t>
      </w:r>
      <w:r>
        <w:rPr>
          <w:rFonts w:hint="eastAsia" w:ascii="仿宋" w:hAnsi="仿宋" w:eastAsia="仿宋" w:cs="宋体"/>
          <w:sz w:val="32"/>
          <w:szCs w:val="32"/>
          <w:u w:val="none"/>
          <w:lang w:val="en-US" w:eastAsia="zh-CN"/>
        </w:rPr>
        <w:t>后，均由</w:t>
      </w:r>
      <w:r>
        <w:rPr>
          <w:rFonts w:hint="eastAsia" w:ascii="仿宋" w:hAnsi="仿宋" w:eastAsia="仿宋" w:cs="宋体"/>
          <w:sz w:val="32"/>
          <w:szCs w:val="32"/>
          <w:u w:val="none"/>
        </w:rPr>
        <w:t>2</w:t>
      </w:r>
      <w:r>
        <w:rPr>
          <w:rFonts w:hint="eastAsia" w:ascii="仿宋" w:hAnsi="仿宋" w:eastAsia="仿宋" w:cs="宋体"/>
          <w:sz w:val="32"/>
          <w:szCs w:val="32"/>
          <w:u w:val="none"/>
          <w:lang w:val="en-US" w:eastAsia="zh-CN"/>
        </w:rPr>
        <w:t>7米</w:t>
      </w:r>
      <w:r>
        <w:rPr>
          <w:rFonts w:hint="eastAsia" w:ascii="仿宋" w:hAnsi="仿宋" w:eastAsia="仿宋" w:cs="宋体"/>
          <w:sz w:val="32"/>
          <w:szCs w:val="32"/>
          <w:u w:val="none"/>
        </w:rPr>
        <w:t>高1</w:t>
      </w:r>
      <w:r>
        <w:rPr>
          <w:rFonts w:hint="eastAsia" w:ascii="仿宋" w:hAnsi="仿宋" w:eastAsia="仿宋" w:cs="宋体"/>
          <w:sz w:val="32"/>
          <w:szCs w:val="32"/>
          <w:u w:val="none"/>
          <w:vertAlign w:val="superscript"/>
        </w:rPr>
        <w:t>#</w:t>
      </w:r>
      <w:r>
        <w:rPr>
          <w:rFonts w:hint="eastAsia" w:ascii="仿宋" w:hAnsi="仿宋" w:eastAsia="仿宋" w:cs="宋体"/>
          <w:sz w:val="32"/>
          <w:szCs w:val="32"/>
          <w:u w:val="none"/>
        </w:rPr>
        <w:t>排气筒</w:t>
      </w:r>
      <w:r>
        <w:rPr>
          <w:rFonts w:hint="eastAsia" w:ascii="仿宋" w:hAnsi="仿宋" w:eastAsia="仿宋" w:cs="宋体"/>
          <w:sz w:val="32"/>
          <w:szCs w:val="32"/>
          <w:u w:val="none"/>
          <w:lang w:val="en-US" w:eastAsia="zh-CN"/>
        </w:rPr>
        <w:t>外</w:t>
      </w:r>
      <w:r>
        <w:rPr>
          <w:rFonts w:hint="eastAsia" w:ascii="仿宋" w:hAnsi="仿宋" w:eastAsia="仿宋" w:cs="宋体"/>
          <w:sz w:val="32"/>
          <w:szCs w:val="32"/>
          <w:u w:val="none"/>
        </w:rPr>
        <w:t>排</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污水处理设施和危险废物暂存间产生的废气经收集后，经“碱洗+除雾+活性炭吸附”处理，达到</w:t>
      </w:r>
      <w:r>
        <w:rPr>
          <w:rFonts w:hint="eastAsia" w:ascii="仿宋" w:hAnsi="仿宋" w:eastAsia="仿宋" w:cs="宋体"/>
          <w:sz w:val="32"/>
          <w:szCs w:val="32"/>
          <w:u w:val="none"/>
        </w:rPr>
        <w:t>《石油化学工业污染物排放标准》（GB31571-2015）</w:t>
      </w:r>
      <w:r>
        <w:rPr>
          <w:rFonts w:hint="eastAsia" w:ascii="仿宋" w:hAnsi="仿宋" w:eastAsia="仿宋" w:cs="宋体"/>
          <w:sz w:val="32"/>
          <w:szCs w:val="32"/>
          <w:u w:val="none"/>
          <w:lang w:val="en-US" w:eastAsia="zh-CN"/>
        </w:rPr>
        <w:t>和</w:t>
      </w:r>
      <w:r>
        <w:rPr>
          <w:rFonts w:hint="eastAsia" w:ascii="仿宋" w:hAnsi="仿宋" w:eastAsia="仿宋" w:cs="宋体"/>
          <w:sz w:val="32"/>
          <w:szCs w:val="32"/>
          <w:u w:val="none"/>
        </w:rPr>
        <w:t>《恶臭污染物排放标准》（GB14554-93）表</w:t>
      </w:r>
      <w:r>
        <w:rPr>
          <w:rFonts w:hint="eastAsia" w:ascii="仿宋" w:hAnsi="仿宋" w:eastAsia="仿宋" w:cs="宋体"/>
          <w:sz w:val="32"/>
          <w:szCs w:val="32"/>
          <w:u w:val="none"/>
          <w:lang w:val="en-US" w:eastAsia="zh-CN"/>
        </w:rPr>
        <w:t>2相关限值要求后，由15米高2</w:t>
      </w:r>
      <w:r>
        <w:rPr>
          <w:rFonts w:hint="eastAsia" w:ascii="仿宋" w:hAnsi="仿宋" w:eastAsia="仿宋" w:cs="宋体"/>
          <w:sz w:val="32"/>
          <w:szCs w:val="32"/>
          <w:u w:val="none"/>
          <w:vertAlign w:val="superscript"/>
          <w:lang w:val="en-US" w:eastAsia="zh-CN"/>
        </w:rPr>
        <w:t>#</w:t>
      </w:r>
      <w:r>
        <w:rPr>
          <w:rFonts w:hint="eastAsia" w:ascii="仿宋" w:hAnsi="仿宋" w:eastAsia="仿宋" w:cs="宋体"/>
          <w:sz w:val="32"/>
          <w:szCs w:val="32"/>
          <w:u w:val="none"/>
          <w:lang w:val="en-US" w:eastAsia="zh-CN"/>
        </w:rPr>
        <w:t>排气筒外排。</w:t>
      </w:r>
      <w:r>
        <w:rPr>
          <w:rFonts w:hint="eastAsia" w:ascii="仿宋" w:hAnsi="仿宋" w:eastAsia="仿宋" w:cs="_4eff_5b8b_GB2312"/>
          <w:bCs/>
          <w:color w:val="000000"/>
          <w:sz w:val="32"/>
          <w:szCs w:val="32"/>
          <w:u w:val="none"/>
        </w:rPr>
        <w:t>加强</w:t>
      </w:r>
      <w:r>
        <w:rPr>
          <w:rFonts w:hint="eastAsia" w:ascii="仿宋" w:hAnsi="仿宋" w:eastAsia="仿宋" w:cs="宋体"/>
          <w:sz w:val="32"/>
          <w:szCs w:val="32"/>
          <w:u w:val="none"/>
          <w:lang w:val="en-US" w:eastAsia="zh-CN"/>
        </w:rPr>
        <w:t>项目</w:t>
      </w:r>
      <w:r>
        <w:rPr>
          <w:rFonts w:hint="eastAsia" w:ascii="仿宋" w:hAnsi="仿宋" w:eastAsia="仿宋" w:cs="_4eff_5b8b_GB2312"/>
          <w:bCs/>
          <w:color w:val="000000"/>
          <w:sz w:val="32"/>
          <w:szCs w:val="32"/>
          <w:u w:val="none"/>
        </w:rPr>
        <w:t>日常监管，定期对</w:t>
      </w:r>
      <w:r>
        <w:rPr>
          <w:rFonts w:hint="eastAsia" w:ascii="仿宋" w:hAnsi="仿宋" w:eastAsia="仿宋" w:cs="_4eff_5b8b_GB2312"/>
          <w:bCs/>
          <w:color w:val="000000"/>
          <w:sz w:val="32"/>
          <w:szCs w:val="32"/>
          <w:u w:val="none"/>
          <w:lang w:val="en-US" w:eastAsia="zh-CN"/>
        </w:rPr>
        <w:t>各</w:t>
      </w:r>
      <w:r>
        <w:rPr>
          <w:rFonts w:hint="eastAsia" w:ascii="仿宋_GB2312" w:eastAsia="仿宋_GB2312" w:cs="Times New Roman"/>
          <w:bCs/>
          <w:sz w:val="32"/>
          <w:szCs w:val="28"/>
          <w:u w:val="none"/>
          <w:lang w:val="en-US" w:eastAsia="zh-CN"/>
        </w:rPr>
        <w:t>设施设备</w:t>
      </w:r>
      <w:r>
        <w:rPr>
          <w:rFonts w:hint="eastAsia" w:ascii="仿宋" w:hAnsi="仿宋" w:eastAsia="仿宋" w:cs="_4eff_5b8b_GB2312"/>
          <w:bCs/>
          <w:color w:val="000000"/>
          <w:sz w:val="32"/>
          <w:szCs w:val="32"/>
          <w:u w:val="none"/>
        </w:rPr>
        <w:t>进行维护和管理，杜绝生产过程中的跑、冒、滴、漏，最大限度减少生产过程中的废气无组织排放，确保厂界大气污染物无组织废气</w:t>
      </w:r>
      <w:r>
        <w:rPr>
          <w:rFonts w:hint="eastAsia" w:ascii="仿宋" w:hAnsi="仿宋" w:eastAsia="仿宋" w:cs="_4eff_5b8b_GB2312"/>
          <w:bCs/>
          <w:color w:val="000000"/>
          <w:sz w:val="32"/>
          <w:szCs w:val="32"/>
          <w:u w:val="none"/>
          <w:lang w:val="en-US" w:eastAsia="zh-CN"/>
        </w:rPr>
        <w:t>排放</w:t>
      </w:r>
      <w:r>
        <w:rPr>
          <w:rFonts w:hint="eastAsia" w:ascii="仿宋" w:hAnsi="仿宋" w:eastAsia="仿宋" w:cs="_4eff_5b8b_GB2312"/>
          <w:bCs/>
          <w:color w:val="000000"/>
          <w:sz w:val="32"/>
          <w:szCs w:val="32"/>
          <w:u w:val="none"/>
        </w:rPr>
        <w:t>满足《石油化学工业污染物排放标准》（GB31571-2015）表7中相关限值要求</w:t>
      </w:r>
      <w:r>
        <w:rPr>
          <w:rFonts w:hint="eastAsia" w:ascii="仿宋" w:hAnsi="仿宋" w:eastAsia="仿宋" w:cs="_4eff_5b8b_GB2312"/>
          <w:bCs/>
          <w:color w:val="000000"/>
          <w:sz w:val="32"/>
          <w:szCs w:val="32"/>
          <w:u w:val="none"/>
          <w:lang w:val="en-US" w:eastAsia="zh-CN"/>
        </w:rPr>
        <w:t>和</w:t>
      </w:r>
      <w:r>
        <w:rPr>
          <w:rFonts w:hint="eastAsia" w:ascii="仿宋" w:hAnsi="仿宋" w:eastAsia="仿宋" w:cs="_4eff_5b8b_GB2312"/>
          <w:bCs/>
          <w:color w:val="000000"/>
          <w:sz w:val="32"/>
          <w:szCs w:val="32"/>
          <w:u w:val="none"/>
        </w:rPr>
        <w:t>《恶臭污染物排放标准》（GB14554-93）表</w:t>
      </w:r>
      <w:r>
        <w:rPr>
          <w:rFonts w:hint="eastAsia" w:ascii="仿宋" w:hAnsi="仿宋" w:eastAsia="仿宋" w:cs="_4eff_5b8b_GB2312"/>
          <w:bCs/>
          <w:color w:val="000000"/>
          <w:sz w:val="32"/>
          <w:szCs w:val="32"/>
          <w:u w:val="none"/>
          <w:lang w:val="en-US" w:eastAsia="zh-CN"/>
        </w:rPr>
        <w:t>1</w:t>
      </w:r>
      <w:r>
        <w:rPr>
          <w:rFonts w:hint="eastAsia" w:ascii="仿宋" w:hAnsi="仿宋" w:eastAsia="仿宋" w:cs="_4eff_5b8b_GB2312"/>
          <w:bCs/>
          <w:color w:val="000000"/>
          <w:sz w:val="32"/>
          <w:szCs w:val="32"/>
          <w:u w:val="none"/>
        </w:rPr>
        <w:t>排放限值要求；厂区内挥发性有机物无组织排放</w:t>
      </w:r>
      <w:r>
        <w:rPr>
          <w:rFonts w:hint="eastAsia" w:ascii="仿宋" w:hAnsi="仿宋" w:eastAsia="仿宋" w:cs="_4eff_5b8b_GB2312"/>
          <w:bCs/>
          <w:color w:val="000000"/>
          <w:sz w:val="32"/>
          <w:szCs w:val="32"/>
          <w:u w:val="none"/>
          <w:lang w:val="en-US" w:eastAsia="zh-CN"/>
        </w:rPr>
        <w:t>满足</w:t>
      </w:r>
      <w:r>
        <w:rPr>
          <w:rFonts w:hint="eastAsia" w:ascii="仿宋" w:hAnsi="仿宋" w:eastAsia="仿宋" w:cs="_4eff_5b8b_GB2312"/>
          <w:bCs/>
          <w:color w:val="000000"/>
          <w:sz w:val="32"/>
          <w:szCs w:val="32"/>
          <w:u w:val="none"/>
        </w:rPr>
        <w:t>《挥发性有机物无组织排放控制标准》（GB37822-2019）表A中标准限值</w:t>
      </w:r>
      <w:r>
        <w:rPr>
          <w:rFonts w:hint="eastAsia" w:ascii="仿宋" w:hAnsi="仿宋" w:eastAsia="仿宋" w:cs="_4eff_5b8b_GB2312"/>
          <w:bCs/>
          <w:color w:val="000000"/>
          <w:sz w:val="32"/>
          <w:szCs w:val="32"/>
          <w:u w:val="none"/>
          <w:lang w:val="en-US" w:eastAsia="zh-CN"/>
        </w:rPr>
        <w:t>要求</w:t>
      </w:r>
      <w:r>
        <w:rPr>
          <w:rFonts w:hint="eastAsia" w:ascii="仿宋" w:hAnsi="仿宋" w:eastAsia="仿宋" w:cs="_4eff_5b8b_GB2312"/>
          <w:bCs/>
          <w:color w:val="000000"/>
          <w:sz w:val="32"/>
          <w:szCs w:val="32"/>
          <w:u w:val="none"/>
        </w:rPr>
        <w:t>。</w:t>
      </w:r>
    </w:p>
    <w:p>
      <w:pPr>
        <w:keepNext w:val="0"/>
        <w:keepLines w:val="0"/>
        <w:pageBreakBefore w:val="0"/>
        <w:widowControl w:val="0"/>
        <w:kinsoku/>
        <w:wordWrap/>
        <w:overflowPunct/>
        <w:topLinePunct w:val="0"/>
        <w:autoSpaceDE w:val="0"/>
        <w:autoSpaceDN/>
        <w:bidi w:val="0"/>
        <w:adjustRightInd/>
        <w:snapToGrid/>
        <w:spacing w:line="480" w:lineRule="exact"/>
        <w:ind w:firstLine="640"/>
        <w:textAlignment w:val="auto"/>
        <w:rPr>
          <w:rFonts w:hint="eastAsia" w:ascii="仿宋" w:hAnsi="仿宋" w:eastAsia="仿宋" w:cs="Times New Roman"/>
          <w:sz w:val="32"/>
          <w:szCs w:val="32"/>
          <w:u w:val="none"/>
        </w:rPr>
      </w:pPr>
      <w:r>
        <w:rPr>
          <w:rFonts w:ascii="仿宋" w:hAnsi="仿宋" w:eastAsia="仿宋"/>
          <w:sz w:val="32"/>
          <w:szCs w:val="32"/>
          <w:u w:val="none"/>
        </w:rPr>
        <w:t>（三）</w:t>
      </w:r>
      <w:r>
        <w:rPr>
          <w:rFonts w:hint="eastAsia" w:ascii="仿宋" w:hAnsi="仿宋" w:eastAsia="仿宋"/>
          <w:sz w:val="32"/>
          <w:szCs w:val="32"/>
          <w:u w:val="none"/>
        </w:rPr>
        <w:t>废水污染防治工作。严格按“雨污分流、清污分流、污污分流”原则建设好厂区排水管网系统</w:t>
      </w:r>
      <w:r>
        <w:rPr>
          <w:rFonts w:hint="eastAsia" w:ascii="仿宋" w:hAnsi="仿宋" w:eastAsia="仿宋"/>
          <w:sz w:val="32"/>
          <w:szCs w:val="32"/>
          <w:u w:val="none"/>
          <w:lang w:eastAsia="zh-CN"/>
        </w:rPr>
        <w:t>，</w:t>
      </w:r>
      <w:r>
        <w:rPr>
          <w:rFonts w:hint="eastAsia" w:ascii="仿宋" w:hAnsi="仿宋" w:eastAsia="仿宋"/>
          <w:sz w:val="32"/>
          <w:szCs w:val="32"/>
          <w:u w:val="none"/>
        </w:rPr>
        <w:t>并与园区污水管网做好对接工作。</w:t>
      </w:r>
      <w:r>
        <w:rPr>
          <w:rFonts w:hint="eastAsia" w:ascii="仿宋" w:hAnsi="仿宋" w:eastAsia="仿宋"/>
          <w:sz w:val="32"/>
          <w:szCs w:val="32"/>
          <w:u w:val="none"/>
          <w:lang w:val="en-US" w:eastAsia="zh-CN"/>
        </w:rPr>
        <w:t>项目</w:t>
      </w:r>
      <w:r>
        <w:rPr>
          <w:rFonts w:hint="eastAsia" w:ascii="仿宋" w:hAnsi="仿宋" w:eastAsia="仿宋" w:cs="Times New Roman"/>
          <w:sz w:val="32"/>
          <w:szCs w:val="32"/>
          <w:u w:val="none"/>
          <w:lang w:val="en-US" w:eastAsia="zh-CN"/>
        </w:rPr>
        <w:t>产生的工艺废水、化验水、初期雨水、地</w:t>
      </w:r>
      <w:r>
        <w:rPr>
          <w:rFonts w:hint="eastAsia" w:ascii="仿宋" w:hAnsi="仿宋" w:eastAsia="仿宋" w:cs="Times New Roman"/>
          <w:sz w:val="32"/>
          <w:szCs w:val="32"/>
          <w:u w:val="none"/>
        </w:rPr>
        <w:t>面清洗废水</w:t>
      </w:r>
      <w:r>
        <w:rPr>
          <w:rFonts w:hint="eastAsia" w:ascii="仿宋" w:hAnsi="仿宋" w:eastAsia="仿宋" w:cs="Times New Roman"/>
          <w:sz w:val="32"/>
          <w:szCs w:val="32"/>
          <w:u w:val="none"/>
          <w:lang w:val="en-US" w:eastAsia="zh-CN"/>
        </w:rPr>
        <w:t>等废水与</w:t>
      </w:r>
      <w:r>
        <w:rPr>
          <w:rFonts w:hint="eastAsia" w:ascii="仿宋" w:hAnsi="仿宋" w:eastAsia="仿宋" w:cs="Times New Roman"/>
          <w:sz w:val="32"/>
          <w:szCs w:val="32"/>
          <w:u w:val="none"/>
        </w:rPr>
        <w:t>经化粪池处理</w:t>
      </w:r>
      <w:r>
        <w:rPr>
          <w:rFonts w:hint="eastAsia" w:ascii="仿宋" w:hAnsi="仿宋" w:eastAsia="仿宋" w:cs="Times New Roman"/>
          <w:sz w:val="32"/>
          <w:szCs w:val="32"/>
          <w:u w:val="none"/>
          <w:lang w:val="en-US" w:eastAsia="zh-CN"/>
        </w:rPr>
        <w:t>后的</w:t>
      </w:r>
      <w:r>
        <w:rPr>
          <w:rFonts w:hint="eastAsia" w:ascii="仿宋" w:hAnsi="仿宋" w:eastAsia="仿宋" w:cs="Times New Roman"/>
          <w:sz w:val="32"/>
          <w:szCs w:val="32"/>
          <w:u w:val="none"/>
        </w:rPr>
        <w:t>生活废水</w:t>
      </w:r>
      <w:r>
        <w:rPr>
          <w:rFonts w:hint="eastAsia" w:ascii="仿宋" w:hAnsi="仿宋" w:eastAsia="仿宋" w:cs="Times New Roman"/>
          <w:sz w:val="32"/>
          <w:szCs w:val="32"/>
          <w:u w:val="none"/>
          <w:lang w:val="en-US" w:eastAsia="zh-CN"/>
        </w:rPr>
        <w:t>一并经厂内自建污水处理设施（采用“芬顿+厌氧+好氧”处理工艺）处理，达到</w:t>
      </w:r>
      <w:r>
        <w:rPr>
          <w:rFonts w:hint="eastAsia" w:ascii="仿宋" w:hAnsi="仿宋" w:eastAsia="仿宋" w:cs="Times New Roman"/>
          <w:sz w:val="32"/>
          <w:szCs w:val="32"/>
          <w:u w:val="none"/>
        </w:rPr>
        <w:t>《石油化学工业污染物排放标准》（GB31571-2015）</w:t>
      </w:r>
      <w:r>
        <w:rPr>
          <w:rFonts w:hint="eastAsia" w:ascii="仿宋" w:hAnsi="仿宋" w:eastAsia="仿宋" w:cs="Times New Roman"/>
          <w:sz w:val="32"/>
          <w:szCs w:val="32"/>
          <w:u w:val="none"/>
          <w:lang w:val="en-US" w:eastAsia="zh-CN"/>
        </w:rPr>
        <w:t>表1间接</w:t>
      </w:r>
      <w:r>
        <w:rPr>
          <w:rFonts w:hint="eastAsia" w:ascii="仿宋" w:hAnsi="仿宋" w:eastAsia="仿宋" w:cs="Times New Roman"/>
          <w:sz w:val="32"/>
          <w:szCs w:val="32"/>
          <w:u w:val="none"/>
        </w:rPr>
        <w:t>排放</w:t>
      </w:r>
      <w:r>
        <w:rPr>
          <w:rFonts w:hint="eastAsia" w:ascii="仿宋" w:hAnsi="仿宋" w:eastAsia="仿宋" w:cs="Times New Roman"/>
          <w:sz w:val="32"/>
          <w:szCs w:val="32"/>
          <w:u w:val="none"/>
          <w:lang w:val="en-US" w:eastAsia="zh-CN"/>
        </w:rPr>
        <w:t>标准和长岭分公司污水处理厂接管水质要求后，经园区管网排入长岭分公司污水处理场进一步深度</w:t>
      </w:r>
      <w:r>
        <w:rPr>
          <w:rFonts w:hint="eastAsia" w:ascii="仿宋" w:hAnsi="仿宋" w:eastAsia="仿宋" w:cs="Times New Roman"/>
          <w:sz w:val="32"/>
          <w:szCs w:val="32"/>
          <w:u w:val="none"/>
        </w:rPr>
        <w:t>处理。</w:t>
      </w:r>
    </w:p>
    <w:p>
      <w:pPr>
        <w:keepNext w:val="0"/>
        <w:keepLines w:val="0"/>
        <w:pageBreakBefore w:val="0"/>
        <w:widowControl w:val="0"/>
        <w:kinsoku/>
        <w:wordWrap/>
        <w:overflowPunct/>
        <w:topLinePunct w:val="0"/>
        <w:autoSpaceDE w:val="0"/>
        <w:autoSpaceDN/>
        <w:bidi w:val="0"/>
        <w:adjustRightInd/>
        <w:snapToGrid/>
        <w:spacing w:line="480"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四）地下水污染防治工作。按照分区防控的原则落实报告书提出的地下水污染防治措施，做好设备、装置区和污水处理设施、事故池、初期雨水池等各类池体、危废暂存间和地下污水管网等生产功能单元的分区防腐、防渗工作，避免由于防渗层破损造成污染物下渗污染地下水；根据《环境影响评价技术导则地下水环境》(HJ610-2016)要求，做</w:t>
      </w:r>
      <w:bookmarkStart w:id="1" w:name="_GoBack"/>
      <w:bookmarkEnd w:id="1"/>
      <w:r>
        <w:rPr>
          <w:rFonts w:hint="eastAsia" w:ascii="仿宋" w:hAnsi="仿宋" w:eastAsia="仿宋" w:cs="_4eff_5b8b_GB2312"/>
          <w:bCs/>
          <w:color w:val="000000"/>
          <w:sz w:val="32"/>
          <w:szCs w:val="32"/>
          <w:u w:val="none"/>
        </w:rPr>
        <w:t>好跟踪监测工作，确保地下水环境安全。</w:t>
      </w:r>
    </w:p>
    <w:p>
      <w:pPr>
        <w:keepNext w:val="0"/>
        <w:keepLines w:val="0"/>
        <w:pageBreakBefore w:val="0"/>
        <w:widowControl w:val="0"/>
        <w:kinsoku/>
        <w:wordWrap/>
        <w:overflowPunct/>
        <w:topLinePunct w:val="0"/>
        <w:autoSpaceDE w:val="0"/>
        <w:autoSpaceDN/>
        <w:bidi w:val="0"/>
        <w:adjustRightInd/>
        <w:snapToGrid/>
        <w:spacing w:line="480" w:lineRule="exact"/>
        <w:ind w:firstLine="640"/>
        <w:textAlignment w:val="auto"/>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（五）土壤污染防治工作。按照“源头控制、分区防控、污染监控、应急响应”相结合的原则</w:t>
      </w:r>
      <w:r>
        <w:rPr>
          <w:rFonts w:hint="eastAsia" w:ascii="仿宋" w:hAnsi="仿宋" w:eastAsia="仿宋"/>
          <w:sz w:val="32"/>
          <w:szCs w:val="32"/>
          <w:u w:val="none"/>
          <w:lang w:val="en-US" w:eastAsia="zh-CN"/>
        </w:rPr>
        <w:t>，</w:t>
      </w:r>
      <w:r>
        <w:rPr>
          <w:rFonts w:hint="eastAsia" w:ascii="仿宋" w:hAnsi="仿宋" w:eastAsia="仿宋"/>
          <w:sz w:val="32"/>
          <w:szCs w:val="32"/>
          <w:u w:val="none"/>
          <w:lang w:val="en-US" w:eastAsia="zh-CN"/>
        </w:rPr>
        <w:t>对生产区、储罐区、污水处理系统、仓库和危险废物暂存库等构筑物和排水管道、事故池水管等采取重点防渗。设置</w:t>
      </w:r>
      <w:r>
        <w:rPr>
          <w:rFonts w:hint="eastAsia" w:ascii="仿宋" w:hAnsi="仿宋" w:eastAsia="仿宋" w:cs="Times New Roman"/>
          <w:sz w:val="32"/>
          <w:szCs w:val="32"/>
          <w:u w:val="none"/>
          <w:lang w:val="en-US" w:eastAsia="zh-CN"/>
        </w:rPr>
        <w:t>各装置区围堰、罐区防火堤、初期雨水池、事故水池等防</w:t>
      </w:r>
      <w:r>
        <w:rPr>
          <w:rFonts w:hint="eastAsia" w:ascii="仿宋" w:hAnsi="仿宋" w:eastAsia="仿宋"/>
          <w:sz w:val="32"/>
          <w:szCs w:val="32"/>
          <w:u w:val="none"/>
          <w:lang w:val="en-US" w:eastAsia="zh-CN"/>
        </w:rPr>
        <w:t>控措施，并建立土壤环境影响跟踪监测制度，确保土壤</w:t>
      </w:r>
      <w:r>
        <w:rPr>
          <w:rFonts w:hint="eastAsia" w:ascii="仿宋" w:hAnsi="仿宋" w:eastAsia="仿宋" w:cs="_4eff_5b8b_GB2312"/>
          <w:bCs/>
          <w:color w:val="000000"/>
          <w:sz w:val="32"/>
          <w:szCs w:val="32"/>
          <w:u w:val="none"/>
        </w:rPr>
        <w:t>环境安全。</w:t>
      </w:r>
    </w:p>
    <w:p>
      <w:pPr>
        <w:keepNext w:val="0"/>
        <w:keepLines w:val="0"/>
        <w:pageBreakBefore w:val="0"/>
        <w:widowControl w:val="0"/>
        <w:kinsoku/>
        <w:wordWrap/>
        <w:overflowPunct/>
        <w:topLinePunct w:val="0"/>
        <w:autoSpaceDE w:val="0"/>
        <w:autoSpaceDN/>
        <w:bidi w:val="0"/>
        <w:adjustRightInd/>
        <w:snapToGrid/>
        <w:spacing w:line="480" w:lineRule="exact"/>
        <w:ind w:firstLine="640"/>
        <w:textAlignment w:val="auto"/>
        <w:rPr>
          <w:rFonts w:hint="eastAsia" w:ascii="仿宋" w:hAnsi="仿宋" w:eastAsia="仿宋" w:cs="_4eff_5b8b_GB2312"/>
          <w:bCs/>
          <w:color w:val="000000"/>
          <w:sz w:val="32"/>
          <w:szCs w:val="32"/>
          <w:u w:val="none"/>
          <w:lang w:val="en-US" w:eastAsia="zh-CN" w:bidi="ar-SA"/>
        </w:rPr>
      </w:pPr>
      <w:r>
        <w:rPr>
          <w:rFonts w:hint="eastAsia" w:ascii="仿宋" w:hAnsi="仿宋" w:eastAsia="仿宋" w:cs="_4eff_5b8b_GB2312"/>
          <w:bCs/>
          <w:color w:val="000000"/>
          <w:sz w:val="32"/>
          <w:szCs w:val="32"/>
          <w:u w:val="none"/>
          <w:lang w:val="en-US" w:eastAsia="zh-CN" w:bidi="ar-SA"/>
        </w:rPr>
        <w:t>（六）噪声污染防治工作。合理布局，采用低噪声设备，加强生产设备的日常维护保养工作，对凉水塔、风机、各类泵压滤机、包装机等主要噪声源设备采取隔声、减振等措施，确保厂界噪声达到《工业企业厂界环境噪声排放标准》(GB12348-2008)中的3类标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45" w:afterAutospacing="0" w:line="480" w:lineRule="exact"/>
        <w:ind w:left="0" w:right="0" w:firstLine="0"/>
        <w:jc w:val="left"/>
        <w:textAlignment w:val="auto"/>
        <w:rPr>
          <w:rFonts w:hint="eastAsia" w:ascii="仿宋" w:hAnsi="仿宋" w:eastAsia="仿宋" w:cs="_4eff_5b8b_GB2312"/>
          <w:b w:val="0"/>
          <w:bCs/>
          <w:color w:val="000000"/>
          <w:kern w:val="0"/>
          <w:sz w:val="32"/>
          <w:szCs w:val="32"/>
          <w:u w:val="none"/>
          <w:lang w:val="en-US" w:eastAsia="zh-CN" w:bidi="ar-SA"/>
        </w:rPr>
      </w:pPr>
      <w:r>
        <w:rPr>
          <w:rFonts w:hint="eastAsia" w:ascii="仿宋" w:hAnsi="仿宋" w:eastAsia="仿宋" w:cs="_4eff_5b8b_GB2312"/>
          <w:b w:val="0"/>
          <w:bCs/>
          <w:color w:val="000000"/>
          <w:kern w:val="0"/>
          <w:sz w:val="32"/>
          <w:szCs w:val="32"/>
          <w:u w:val="none"/>
          <w:lang w:val="en-US" w:eastAsia="zh-CN" w:bidi="ar-SA"/>
        </w:rPr>
        <w:t>（七）固体废物管理工作。根据“无害化、减量化、资源化”原则，严格落实《危险废物贮存污染控制标准（GB18597-2001）》及其2013年修改单和《危险废物收集贮存运输技术规范》（HJ 2025-2012）以及</w:t>
      </w:r>
      <w:r>
        <w:rPr>
          <w:rFonts w:hint="default" w:ascii="仿宋" w:hAnsi="仿宋" w:eastAsia="仿宋" w:cs="_4eff_5b8b_GB2312"/>
          <w:b w:val="0"/>
          <w:bCs/>
          <w:color w:val="000000"/>
          <w:kern w:val="0"/>
          <w:sz w:val="32"/>
          <w:szCs w:val="32"/>
          <w:u w:val="none"/>
          <w:lang w:val="en-US" w:eastAsia="zh-CN" w:bidi="ar-SA"/>
        </w:rPr>
        <w:fldChar w:fldCharType="begin"/>
      </w:r>
      <w:r>
        <w:rPr>
          <w:rFonts w:hint="default" w:ascii="仿宋" w:hAnsi="仿宋" w:eastAsia="仿宋" w:cs="_4eff_5b8b_GB2312"/>
          <w:b w:val="0"/>
          <w:bCs/>
          <w:color w:val="000000"/>
          <w:kern w:val="0"/>
          <w:sz w:val="32"/>
          <w:szCs w:val="32"/>
          <w:u w:val="none"/>
          <w:lang w:val="en-US" w:eastAsia="zh-CN" w:bidi="ar-SA"/>
        </w:rPr>
        <w:instrText xml:space="preserve"> HYPERLINK "https://www.so.com/link?m=bqWGGRSrvRYtTJNJwqweWAuUlGlGvURm2F1zFdCCEpsXQ7djOfi84IyBbnqpEtCSER151D+tzPHn5eK2TZ9hC6dfov3mf7PtzwrMLcqYrIt8XU+tN9YUwltHbxIPXC/+tVVXffk2V2aaVc+ZRw27NoWa8KiPMeWZ3KPA6AJk4JgLcouQwvhJWu0Bv/zoH8UxLMcFlqwyznwNWQOIiiAQdv7Ehr8pLx3nlVdNr3tral/sniJLnfUrC519mGZa5em6VBKlNH+xN9p4ki5AW9r4sEoXg3oWiG298RoACq+mq8MJie+TmeH3ZDq1dX9FwwaeAlouHx7p7mKRoIgs3pPp4ttDT9rmcuRrzQrche1v7qXGhAIIfKBAZviFDzmsNB0wXEeen0mBXi612XGAWJk9q4q5UPIPEP2S/A6trFA==" \t "https://www.so.com/_blank" </w:instrText>
      </w:r>
      <w:r>
        <w:rPr>
          <w:rFonts w:hint="default" w:ascii="仿宋" w:hAnsi="仿宋" w:eastAsia="仿宋" w:cs="_4eff_5b8b_GB2312"/>
          <w:b w:val="0"/>
          <w:bCs/>
          <w:color w:val="000000"/>
          <w:kern w:val="0"/>
          <w:sz w:val="32"/>
          <w:szCs w:val="32"/>
          <w:u w:val="none"/>
          <w:lang w:val="en-US" w:eastAsia="zh-CN" w:bidi="ar-SA"/>
        </w:rPr>
        <w:fldChar w:fldCharType="separate"/>
      </w:r>
      <w:r>
        <w:rPr>
          <w:rFonts w:hint="default" w:ascii="仿宋" w:hAnsi="仿宋" w:eastAsia="仿宋" w:cs="_4eff_5b8b_GB2312"/>
          <w:b w:val="0"/>
          <w:bCs/>
          <w:color w:val="000000"/>
          <w:kern w:val="0"/>
          <w:sz w:val="32"/>
          <w:szCs w:val="32"/>
          <w:u w:val="none"/>
          <w:lang w:val="en-US" w:eastAsia="zh-CN" w:bidi="ar-SA"/>
        </w:rPr>
        <w:t>《一般工业固体废物贮存和填埋污染控制标准》(GB18599-2020)</w:t>
      </w:r>
      <w:r>
        <w:rPr>
          <w:rFonts w:hint="default" w:ascii="仿宋" w:hAnsi="仿宋" w:eastAsia="仿宋" w:cs="_4eff_5b8b_GB2312"/>
          <w:b w:val="0"/>
          <w:bCs/>
          <w:color w:val="000000"/>
          <w:kern w:val="0"/>
          <w:sz w:val="32"/>
          <w:szCs w:val="32"/>
          <w:u w:val="none"/>
          <w:lang w:val="en-US" w:eastAsia="zh-CN" w:bidi="ar-SA"/>
        </w:rPr>
        <w:fldChar w:fldCharType="end"/>
      </w:r>
      <w:r>
        <w:rPr>
          <w:rFonts w:hint="eastAsia" w:ascii="仿宋" w:hAnsi="仿宋" w:eastAsia="仿宋" w:cs="_4eff_5b8b_GB2312"/>
          <w:b w:val="0"/>
          <w:bCs/>
          <w:color w:val="000000"/>
          <w:kern w:val="0"/>
          <w:sz w:val="32"/>
          <w:szCs w:val="32"/>
          <w:u w:val="none"/>
          <w:lang w:val="en-US" w:eastAsia="zh-CN" w:bidi="ar-SA"/>
        </w:rPr>
        <w:t>》相关标准和规定要求，规范建设危险废物暂存间，做好各类固体废物分类收集、暂存工作，建立健全固体废物产生、收集、储存、转运、处置等相关管理台帐。项目产生的废渣、废活性炭、废润滑油、污水处理污泥、废包装材料（内衬塑料袋）等危险废物经收集交由有资质单位安全处置并严格执行转移联单制度；废包装袋（外包装袋）等一般工业固体废物经收集后返回厂家综合利用；生活垃圾经收集后交由环卫部门统一处理。</w:t>
      </w:r>
    </w:p>
    <w:p>
      <w:pPr>
        <w:keepNext w:val="0"/>
        <w:keepLines w:val="0"/>
        <w:pageBreakBefore w:val="0"/>
        <w:widowControl w:val="0"/>
        <w:kinsoku/>
        <w:wordWrap/>
        <w:overflowPunct/>
        <w:topLinePunct w:val="0"/>
        <w:autoSpaceDE w:val="0"/>
        <w:autoSpaceDN/>
        <w:bidi w:val="0"/>
        <w:adjustRightInd/>
        <w:snapToGrid/>
        <w:spacing w:line="480" w:lineRule="exact"/>
        <w:ind w:firstLine="640"/>
        <w:textAlignment w:val="auto"/>
        <w:rPr>
          <w:rFonts w:hint="eastAsia" w:ascii="仿宋" w:hAnsi="仿宋" w:eastAsia="仿宋"/>
          <w:sz w:val="32"/>
          <w:szCs w:val="32"/>
          <w:u w:val="none"/>
        </w:rPr>
      </w:pPr>
      <w:r>
        <w:rPr>
          <w:rFonts w:hint="eastAsia" w:ascii="仿宋" w:hAnsi="仿宋" w:eastAsia="仿宋" w:cs="_4eff_5b8b_GB2312"/>
          <w:bCs/>
          <w:color w:val="000000"/>
          <w:sz w:val="32"/>
          <w:szCs w:val="32"/>
          <w:u w:val="none"/>
        </w:rPr>
        <w:t>（八）</w:t>
      </w:r>
      <w:r>
        <w:rPr>
          <w:rFonts w:hint="eastAsia" w:ascii="仿宋" w:hAnsi="仿宋" w:eastAsia="仿宋"/>
          <w:sz w:val="32"/>
          <w:szCs w:val="32"/>
          <w:u w:val="none"/>
        </w:rPr>
        <w:t>环境管理和风险防范工作。设置专门环保机构，配备专职环保管理人员，加强生产设备和污防设施的检修、保养及管理人员培训工作，建立健全污染防治设施运行管理台帐。加强日常监管，杜绝生产过程中的跑、冒、滴、漏，确保各污染防治设施的正常运行，各类污染物稳定达标排放。做好运营期环境监测工作，严格落实报告书提出的各项环境风险防范措施，按要求配齐各类泄漏检测报警仪器和</w:t>
      </w:r>
      <w:r>
        <w:rPr>
          <w:rFonts w:hint="eastAsia" w:ascii="仿宋" w:hAnsi="仿宋" w:eastAsia="仿宋"/>
          <w:sz w:val="32"/>
          <w:szCs w:val="32"/>
          <w:u w:val="none"/>
          <w:lang w:val="en-US" w:eastAsia="zh-CN"/>
        </w:rPr>
        <w:t>监控</w:t>
      </w:r>
      <w:r>
        <w:rPr>
          <w:rFonts w:hint="eastAsia" w:ascii="仿宋" w:hAnsi="仿宋" w:eastAsia="仿宋"/>
          <w:sz w:val="32"/>
          <w:szCs w:val="32"/>
          <w:u w:val="none"/>
          <w:lang w:eastAsia="zh-CN"/>
        </w:rPr>
        <w:t>、</w:t>
      </w:r>
      <w:r>
        <w:rPr>
          <w:rFonts w:hint="eastAsia" w:ascii="仿宋" w:hAnsi="仿宋" w:eastAsia="仿宋"/>
          <w:sz w:val="32"/>
          <w:szCs w:val="32"/>
          <w:u w:val="none"/>
        </w:rPr>
        <w:t>应急设施，按照《突发环境事件应急管理办法》</w:t>
      </w:r>
      <w:r>
        <w:rPr>
          <w:rFonts w:hint="eastAsia" w:ascii="仿宋" w:hAnsi="仿宋" w:eastAsia="仿宋"/>
          <w:sz w:val="32"/>
          <w:szCs w:val="32"/>
          <w:u w:val="none"/>
          <w:lang w:val="en-US" w:eastAsia="zh-CN"/>
        </w:rPr>
        <w:t>制订</w:t>
      </w:r>
      <w:r>
        <w:rPr>
          <w:rFonts w:hint="eastAsia" w:ascii="仿宋" w:hAnsi="仿宋" w:eastAsia="仿宋"/>
          <w:sz w:val="32"/>
          <w:szCs w:val="32"/>
          <w:u w:val="none"/>
        </w:rPr>
        <w:t>突发环境事件应急预案，储备风险救助物资并定期组织演练，杜绝环境风险事故发生，确保周边环境安全。</w:t>
      </w:r>
    </w:p>
    <w:p>
      <w:pPr>
        <w:keepNext w:val="0"/>
        <w:keepLines w:val="0"/>
        <w:pageBreakBefore w:val="0"/>
        <w:widowControl w:val="0"/>
        <w:kinsoku/>
        <w:wordWrap/>
        <w:overflowPunct/>
        <w:topLinePunct w:val="0"/>
        <w:autoSpaceDE w:val="0"/>
        <w:autoSpaceDN/>
        <w:bidi w:val="0"/>
        <w:adjustRightInd/>
        <w:snapToGrid/>
        <w:spacing w:line="480" w:lineRule="exact"/>
        <w:ind w:firstLine="640"/>
        <w:textAlignment w:val="auto"/>
        <w:rPr>
          <w:rFonts w:hint="eastAsia" w:ascii="仿宋" w:hAnsi="仿宋" w:eastAsia="仿宋" w:cs="_4eff_5b8b_GB2312"/>
          <w:bCs/>
          <w:color w:val="000000"/>
          <w:sz w:val="32"/>
          <w:szCs w:val="32"/>
          <w:u w:val="single"/>
        </w:rPr>
      </w:pP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九</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rPr>
        <w:t>本项目主要污染物总量控制指标为COD≤</w:t>
      </w:r>
      <w:r>
        <w:rPr>
          <w:rFonts w:hint="eastAsia" w:ascii="仿宋" w:hAnsi="仿宋" w:eastAsia="仿宋" w:cs="_4eff_5b8b_GB2312"/>
          <w:bCs/>
          <w:color w:val="000000"/>
          <w:sz w:val="32"/>
          <w:szCs w:val="32"/>
          <w:u w:val="none"/>
          <w:lang w:val="en-US" w:eastAsia="zh-CN"/>
        </w:rPr>
        <w:t>1.6</w:t>
      </w:r>
      <w:r>
        <w:rPr>
          <w:rFonts w:hint="eastAsia" w:ascii="仿宋" w:hAnsi="仿宋" w:eastAsia="仿宋" w:cs="_4eff_5b8b_GB2312"/>
          <w:bCs/>
          <w:color w:val="000000"/>
          <w:sz w:val="32"/>
          <w:szCs w:val="32"/>
          <w:u w:val="none"/>
        </w:rPr>
        <w:t>t/a、氨氮≤</w:t>
      </w:r>
      <w:r>
        <w:rPr>
          <w:rFonts w:hint="eastAsia" w:ascii="仿宋" w:hAnsi="仿宋" w:eastAsia="仿宋" w:cs="_4eff_5b8b_GB2312"/>
          <w:bCs/>
          <w:color w:val="000000"/>
          <w:sz w:val="32"/>
          <w:szCs w:val="32"/>
          <w:u w:val="none"/>
          <w:lang w:val="en-US" w:eastAsia="zh-CN"/>
        </w:rPr>
        <w:t>0.2</w:t>
      </w:r>
      <w:r>
        <w:rPr>
          <w:rFonts w:hint="eastAsia" w:ascii="仿宋" w:hAnsi="仿宋" w:eastAsia="仿宋" w:cs="_4eff_5b8b_GB2312"/>
          <w:bCs/>
          <w:color w:val="000000"/>
          <w:sz w:val="32"/>
          <w:szCs w:val="32"/>
          <w:u w:val="none"/>
        </w:rPr>
        <w:t>t/a</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VOCs</w:t>
      </w:r>
      <w:r>
        <w:rPr>
          <w:rFonts w:hint="eastAsia" w:ascii="仿宋" w:hAnsi="仿宋" w:eastAsia="仿宋" w:cs="_4eff_5b8b_GB2312"/>
          <w:bCs/>
          <w:color w:val="000000"/>
          <w:sz w:val="32"/>
          <w:szCs w:val="32"/>
          <w:u w:val="none"/>
        </w:rPr>
        <w:t>≤</w:t>
      </w:r>
      <w:r>
        <w:rPr>
          <w:rFonts w:hint="eastAsia" w:ascii="仿宋" w:hAnsi="仿宋" w:eastAsia="仿宋" w:cs="_4eff_5b8b_GB2312"/>
          <w:bCs/>
          <w:color w:val="000000"/>
          <w:sz w:val="32"/>
          <w:szCs w:val="32"/>
          <w:u w:val="none"/>
          <w:lang w:val="en-US" w:eastAsia="zh-CN"/>
        </w:rPr>
        <w:t>5.5</w:t>
      </w:r>
      <w:r>
        <w:rPr>
          <w:rFonts w:hint="eastAsia" w:ascii="仿宋" w:hAnsi="仿宋" w:eastAsia="仿宋" w:cs="_4eff_5b8b_GB2312"/>
          <w:bCs/>
          <w:color w:val="000000"/>
          <w:sz w:val="32"/>
          <w:szCs w:val="32"/>
          <w:u w:val="none"/>
        </w:rPr>
        <w:t>t/a。</w:t>
      </w:r>
    </w:p>
    <w:p>
      <w:pPr>
        <w:keepNext w:val="0"/>
        <w:keepLines w:val="0"/>
        <w:pageBreakBefore w:val="0"/>
        <w:widowControl w:val="0"/>
        <w:kinsoku/>
        <w:wordWrap/>
        <w:overflowPunct/>
        <w:topLinePunct w:val="0"/>
        <w:autoSpaceDE w:val="0"/>
        <w:autoSpaceDN/>
        <w:bidi w:val="0"/>
        <w:adjustRightInd/>
        <w:snapToGrid/>
        <w:spacing w:line="480"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三、你公司应收到本批复后15个工作日内，将批复及批准的环评报告文件送岳阳市生态环境局云溪分局、</w:t>
      </w:r>
      <w:r>
        <w:rPr>
          <w:rFonts w:hint="eastAsia" w:ascii="仿宋" w:hAnsi="仿宋" w:eastAsia="仿宋"/>
          <w:sz w:val="32"/>
          <w:szCs w:val="32"/>
          <w:u w:val="none"/>
          <w:lang w:eastAsia="zh-CN"/>
        </w:rPr>
        <w:t>湖南环腾环保工程有限公司</w:t>
      </w:r>
      <w:r>
        <w:rPr>
          <w:rFonts w:hint="eastAsia" w:ascii="仿宋" w:hAnsi="仿宋" w:eastAsia="仿宋" w:cs="_4eff_5b8b_GB2312"/>
          <w:bCs/>
          <w:color w:val="000000"/>
          <w:sz w:val="32"/>
          <w:szCs w:val="32"/>
          <w:u w:val="none"/>
        </w:rPr>
        <w:t>。</w:t>
      </w:r>
    </w:p>
    <w:p>
      <w:pPr>
        <w:keepNext w:val="0"/>
        <w:keepLines w:val="0"/>
        <w:pageBreakBefore w:val="0"/>
        <w:widowControl w:val="0"/>
        <w:kinsoku/>
        <w:wordWrap/>
        <w:overflowPunct/>
        <w:topLinePunct w:val="0"/>
        <w:autoSpaceDE w:val="0"/>
        <w:autoSpaceDN/>
        <w:bidi w:val="0"/>
        <w:adjustRightInd/>
        <w:snapToGrid/>
        <w:spacing w:line="480"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四、请岳阳市生态环境局云溪分局负责项目建设和运营期的日常环境监管。</w:t>
      </w:r>
    </w:p>
    <w:p>
      <w:pPr>
        <w:spacing w:line="480" w:lineRule="exact"/>
        <w:rPr>
          <w:rFonts w:ascii="仿宋" w:hAnsi="仿宋" w:eastAsia="仿宋"/>
          <w:sz w:val="32"/>
          <w:szCs w:val="32"/>
          <w:u w:val="none"/>
        </w:rPr>
      </w:pPr>
    </w:p>
    <w:p>
      <w:pPr>
        <w:spacing w:line="480" w:lineRule="exact"/>
        <w:rPr>
          <w:rFonts w:ascii="仿宋" w:hAnsi="仿宋" w:eastAsia="仿宋"/>
          <w:sz w:val="32"/>
          <w:szCs w:val="32"/>
          <w:u w:val="single"/>
        </w:rPr>
      </w:pPr>
    </w:p>
    <w:p>
      <w:pPr>
        <w:spacing w:line="480" w:lineRule="exact"/>
        <w:rPr>
          <w:rFonts w:ascii="仿宋" w:hAnsi="仿宋" w:eastAsia="仿宋"/>
          <w:sz w:val="32"/>
          <w:szCs w:val="32"/>
          <w:u w:val="single"/>
        </w:rPr>
      </w:pPr>
    </w:p>
    <w:p>
      <w:pPr>
        <w:spacing w:line="480" w:lineRule="exact"/>
        <w:rPr>
          <w:rFonts w:ascii="仿宋" w:hAnsi="仿宋" w:eastAsia="仿宋"/>
          <w:sz w:val="32"/>
          <w:szCs w:val="32"/>
          <w:u w:val="single"/>
        </w:rPr>
      </w:pPr>
    </w:p>
    <w:p>
      <w:pPr>
        <w:spacing w:line="480" w:lineRule="exact"/>
        <w:rPr>
          <w:rFonts w:hint="eastAsia" w:ascii="仿宋" w:hAnsi="仿宋" w:eastAsia="仿宋"/>
          <w:sz w:val="32"/>
          <w:szCs w:val="32"/>
          <w:u w:val="none"/>
        </w:rPr>
      </w:pPr>
      <w:r>
        <w:rPr>
          <w:rFonts w:ascii="仿宋" w:hAnsi="仿宋" w:eastAsia="仿宋"/>
          <w:sz w:val="32"/>
          <w:szCs w:val="32"/>
          <w:u w:val="none"/>
        </w:rPr>
        <w:t xml:space="preserve">                        岳阳市生态环境局</w:t>
      </w:r>
    </w:p>
    <w:p>
      <w:pPr>
        <w:spacing w:line="480" w:lineRule="exact"/>
        <w:ind w:firstLine="64" w:firstLineChars="20"/>
        <w:rPr>
          <w:rFonts w:ascii="仿宋" w:hAnsi="仿宋" w:eastAsia="仿宋"/>
          <w:sz w:val="32"/>
          <w:szCs w:val="32"/>
          <w:u w:val="none"/>
        </w:rPr>
      </w:pPr>
      <w:r>
        <w:rPr>
          <w:rFonts w:ascii="仿宋" w:hAnsi="仿宋" w:eastAsia="仿宋"/>
          <w:sz w:val="32"/>
          <w:szCs w:val="32"/>
          <w:u w:val="none"/>
        </w:rPr>
        <w:t xml:space="preserve">                            </w:t>
      </w:r>
      <w:r>
        <w:rPr>
          <w:rFonts w:ascii="仿宋" w:hAnsi="仿宋" w:eastAsia="仿宋"/>
          <w:spacing w:val="-11"/>
          <w:sz w:val="32"/>
          <w:szCs w:val="32"/>
          <w:u w:val="none"/>
        </w:rPr>
        <w:t>2022年</w:t>
      </w:r>
      <w:r>
        <w:rPr>
          <w:rFonts w:hint="eastAsia" w:ascii="仿宋" w:hAnsi="仿宋" w:eastAsia="仿宋"/>
          <w:spacing w:val="-11"/>
          <w:sz w:val="32"/>
          <w:szCs w:val="32"/>
          <w:u w:val="none"/>
          <w:lang w:val="en-US" w:eastAsia="zh-CN"/>
        </w:rPr>
        <w:t>4</w:t>
      </w:r>
      <w:r>
        <w:rPr>
          <w:rFonts w:ascii="仿宋" w:hAnsi="仿宋" w:eastAsia="仿宋"/>
          <w:spacing w:val="-11"/>
          <w:sz w:val="32"/>
          <w:szCs w:val="32"/>
          <w:u w:val="none"/>
        </w:rPr>
        <w:t>月</w:t>
      </w:r>
      <w:r>
        <w:rPr>
          <w:rFonts w:hint="eastAsia" w:ascii="仿宋" w:hAnsi="仿宋" w:eastAsia="仿宋"/>
          <w:spacing w:val="-11"/>
          <w:sz w:val="32"/>
          <w:szCs w:val="32"/>
          <w:u w:val="none"/>
          <w:lang w:val="en-US" w:eastAsia="zh-CN"/>
        </w:rPr>
        <w:t>29</w:t>
      </w:r>
      <w:r>
        <w:rPr>
          <w:rFonts w:ascii="仿宋" w:hAnsi="仿宋" w:eastAsia="仿宋"/>
          <w:spacing w:val="-11"/>
          <w:sz w:val="32"/>
          <w:szCs w:val="32"/>
          <w:u w:val="none"/>
        </w:rPr>
        <w:t>日</w:t>
      </w:r>
    </w:p>
    <w:p>
      <w:pPr>
        <w:rPr>
          <w:color w:val="000000"/>
          <w:szCs w:val="22"/>
          <w:u w:val="none"/>
        </w:rPr>
      </w:pPr>
    </w:p>
    <w:p>
      <w:pPr>
        <w:spacing w:line="480" w:lineRule="exact"/>
        <w:ind w:firstLine="40" w:firstLineChars="20"/>
        <w:jc w:val="both"/>
        <w:rPr>
          <w:u w:val="singl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689" w:bottom="1440" w:left="1689"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fldChar w:fldCharType="begin"/>
    </w:r>
    <w:r>
      <w:instrText xml:space="preserve">PAGE   \* MERGEFORMAT</w:instrText>
    </w:r>
    <w:r>
      <w:fldChar w:fldCharType="separate"/>
    </w:r>
    <w:r>
      <w:rPr>
        <w:lang w:val="zh-CN"/>
      </w:rPr>
      <w:t>2</w:t>
    </w:r>
    <w: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5079DF"/>
    <w:rsid w:val="00925FA4"/>
    <w:rsid w:val="0093216E"/>
    <w:rsid w:val="00C76252"/>
    <w:rsid w:val="017A36FD"/>
    <w:rsid w:val="01804167"/>
    <w:rsid w:val="024330B6"/>
    <w:rsid w:val="030126EB"/>
    <w:rsid w:val="039B5B6E"/>
    <w:rsid w:val="0563090D"/>
    <w:rsid w:val="05803478"/>
    <w:rsid w:val="05C42D45"/>
    <w:rsid w:val="05D7488F"/>
    <w:rsid w:val="062A1B37"/>
    <w:rsid w:val="06D41775"/>
    <w:rsid w:val="08262763"/>
    <w:rsid w:val="086150D6"/>
    <w:rsid w:val="08D31953"/>
    <w:rsid w:val="0A7F7F97"/>
    <w:rsid w:val="0AB375F4"/>
    <w:rsid w:val="0BA965B8"/>
    <w:rsid w:val="0BC07F69"/>
    <w:rsid w:val="0C79253B"/>
    <w:rsid w:val="0D3B5CAB"/>
    <w:rsid w:val="0D9C1255"/>
    <w:rsid w:val="0F1A64E0"/>
    <w:rsid w:val="0F256C33"/>
    <w:rsid w:val="0F82454C"/>
    <w:rsid w:val="116C667E"/>
    <w:rsid w:val="11EE5A02"/>
    <w:rsid w:val="122E5629"/>
    <w:rsid w:val="123322BF"/>
    <w:rsid w:val="12903870"/>
    <w:rsid w:val="145A0633"/>
    <w:rsid w:val="14A02886"/>
    <w:rsid w:val="14B76732"/>
    <w:rsid w:val="14C65740"/>
    <w:rsid w:val="16855DC9"/>
    <w:rsid w:val="16D658D7"/>
    <w:rsid w:val="193D5DCA"/>
    <w:rsid w:val="1C6B4928"/>
    <w:rsid w:val="1C765C6B"/>
    <w:rsid w:val="1CD7615D"/>
    <w:rsid w:val="1DE74BBA"/>
    <w:rsid w:val="1E4C7AFD"/>
    <w:rsid w:val="1E930AF4"/>
    <w:rsid w:val="1F4C3143"/>
    <w:rsid w:val="1F6F01CA"/>
    <w:rsid w:val="1FB73367"/>
    <w:rsid w:val="1FB95DF2"/>
    <w:rsid w:val="1FED6F09"/>
    <w:rsid w:val="21617BDF"/>
    <w:rsid w:val="218569EA"/>
    <w:rsid w:val="22D24584"/>
    <w:rsid w:val="23077A58"/>
    <w:rsid w:val="2366189C"/>
    <w:rsid w:val="23910F38"/>
    <w:rsid w:val="24F16102"/>
    <w:rsid w:val="253972F4"/>
    <w:rsid w:val="25700B4B"/>
    <w:rsid w:val="257213F7"/>
    <w:rsid w:val="2620416C"/>
    <w:rsid w:val="265131EC"/>
    <w:rsid w:val="2675089C"/>
    <w:rsid w:val="269742E9"/>
    <w:rsid w:val="27F01264"/>
    <w:rsid w:val="28141F89"/>
    <w:rsid w:val="28854EED"/>
    <w:rsid w:val="2901329B"/>
    <w:rsid w:val="293A7102"/>
    <w:rsid w:val="29F43F54"/>
    <w:rsid w:val="2A354571"/>
    <w:rsid w:val="2A391E14"/>
    <w:rsid w:val="2DA500D2"/>
    <w:rsid w:val="2E03543C"/>
    <w:rsid w:val="2F37233F"/>
    <w:rsid w:val="2F991498"/>
    <w:rsid w:val="2FBE4369"/>
    <w:rsid w:val="307A6829"/>
    <w:rsid w:val="31D1627B"/>
    <w:rsid w:val="31D77B24"/>
    <w:rsid w:val="327562FB"/>
    <w:rsid w:val="338139A3"/>
    <w:rsid w:val="363D1E86"/>
    <w:rsid w:val="36A06A1C"/>
    <w:rsid w:val="36A645CE"/>
    <w:rsid w:val="36F1784F"/>
    <w:rsid w:val="371755C1"/>
    <w:rsid w:val="374B6685"/>
    <w:rsid w:val="37580DE2"/>
    <w:rsid w:val="37DB2961"/>
    <w:rsid w:val="38AA1DD5"/>
    <w:rsid w:val="390E4C54"/>
    <w:rsid w:val="39387D98"/>
    <w:rsid w:val="393F4770"/>
    <w:rsid w:val="3BD66A3C"/>
    <w:rsid w:val="3D45566E"/>
    <w:rsid w:val="3E78202C"/>
    <w:rsid w:val="3EC50BFE"/>
    <w:rsid w:val="3F024441"/>
    <w:rsid w:val="3F427EE2"/>
    <w:rsid w:val="40B124CA"/>
    <w:rsid w:val="40E619D0"/>
    <w:rsid w:val="425B3DD9"/>
    <w:rsid w:val="4291183E"/>
    <w:rsid w:val="42B83245"/>
    <w:rsid w:val="42D57B3D"/>
    <w:rsid w:val="43646117"/>
    <w:rsid w:val="44637C14"/>
    <w:rsid w:val="447C50BD"/>
    <w:rsid w:val="447D1C81"/>
    <w:rsid w:val="4550160D"/>
    <w:rsid w:val="45F53868"/>
    <w:rsid w:val="461B020C"/>
    <w:rsid w:val="46A338D2"/>
    <w:rsid w:val="47335C34"/>
    <w:rsid w:val="4830538A"/>
    <w:rsid w:val="48D60EF7"/>
    <w:rsid w:val="490966A2"/>
    <w:rsid w:val="498D0A16"/>
    <w:rsid w:val="4BD60B78"/>
    <w:rsid w:val="4BF41811"/>
    <w:rsid w:val="4C64552E"/>
    <w:rsid w:val="4C720429"/>
    <w:rsid w:val="4EB50A05"/>
    <w:rsid w:val="50B52913"/>
    <w:rsid w:val="51022EB8"/>
    <w:rsid w:val="53B5186B"/>
    <w:rsid w:val="53C94D4E"/>
    <w:rsid w:val="53DD0E57"/>
    <w:rsid w:val="54417E9D"/>
    <w:rsid w:val="558B11B4"/>
    <w:rsid w:val="55D8771A"/>
    <w:rsid w:val="561D1830"/>
    <w:rsid w:val="56AF0889"/>
    <w:rsid w:val="56D26326"/>
    <w:rsid w:val="57AB1477"/>
    <w:rsid w:val="57E82929"/>
    <w:rsid w:val="5811586C"/>
    <w:rsid w:val="58575BCF"/>
    <w:rsid w:val="585E2283"/>
    <w:rsid w:val="599134C3"/>
    <w:rsid w:val="59C416EA"/>
    <w:rsid w:val="5A3F0176"/>
    <w:rsid w:val="5A4818F3"/>
    <w:rsid w:val="5A617858"/>
    <w:rsid w:val="5ACB5F7E"/>
    <w:rsid w:val="5B52622C"/>
    <w:rsid w:val="5B936B23"/>
    <w:rsid w:val="5BB1236D"/>
    <w:rsid w:val="5BEC50BB"/>
    <w:rsid w:val="5C782274"/>
    <w:rsid w:val="5CB128AA"/>
    <w:rsid w:val="5CE6055C"/>
    <w:rsid w:val="5CF478E7"/>
    <w:rsid w:val="5D554563"/>
    <w:rsid w:val="5E3B0524"/>
    <w:rsid w:val="5F4A45B4"/>
    <w:rsid w:val="5F8110FD"/>
    <w:rsid w:val="61715875"/>
    <w:rsid w:val="61916E3E"/>
    <w:rsid w:val="61974B52"/>
    <w:rsid w:val="61D02FB3"/>
    <w:rsid w:val="625C31C0"/>
    <w:rsid w:val="62B90CF6"/>
    <w:rsid w:val="62E11424"/>
    <w:rsid w:val="63A34002"/>
    <w:rsid w:val="64393226"/>
    <w:rsid w:val="657C1287"/>
    <w:rsid w:val="65F30067"/>
    <w:rsid w:val="66DD0822"/>
    <w:rsid w:val="67675ABC"/>
    <w:rsid w:val="67FB3202"/>
    <w:rsid w:val="681100F9"/>
    <w:rsid w:val="68780870"/>
    <w:rsid w:val="69071A90"/>
    <w:rsid w:val="694B3D6D"/>
    <w:rsid w:val="6A072CCD"/>
    <w:rsid w:val="6B8C0D41"/>
    <w:rsid w:val="6C5D15CE"/>
    <w:rsid w:val="6D7F639C"/>
    <w:rsid w:val="6D982396"/>
    <w:rsid w:val="6E3B1502"/>
    <w:rsid w:val="6E783365"/>
    <w:rsid w:val="6FAF51B1"/>
    <w:rsid w:val="6FB46AB9"/>
    <w:rsid w:val="6FF07C9F"/>
    <w:rsid w:val="70E2609B"/>
    <w:rsid w:val="714061B8"/>
    <w:rsid w:val="721F3D0A"/>
    <w:rsid w:val="730065A6"/>
    <w:rsid w:val="73A12654"/>
    <w:rsid w:val="74463A57"/>
    <w:rsid w:val="74D016B7"/>
    <w:rsid w:val="77627606"/>
    <w:rsid w:val="777B69C0"/>
    <w:rsid w:val="77CC5F6D"/>
    <w:rsid w:val="7808174F"/>
    <w:rsid w:val="782E45BB"/>
    <w:rsid w:val="788D05ED"/>
    <w:rsid w:val="78E71CAD"/>
    <w:rsid w:val="79201AFA"/>
    <w:rsid w:val="79DD225C"/>
    <w:rsid w:val="7B837B29"/>
    <w:rsid w:val="7B844F72"/>
    <w:rsid w:val="7BD6533A"/>
    <w:rsid w:val="7C094CF5"/>
    <w:rsid w:val="7C0A1AFB"/>
    <w:rsid w:val="7CFF67CF"/>
    <w:rsid w:val="7DC21241"/>
    <w:rsid w:val="7DED57F4"/>
    <w:rsid w:val="7E5E0CCD"/>
    <w:rsid w:val="7E6A3164"/>
    <w:rsid w:val="7FDD0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4">
    <w:name w:val="heading 1"/>
    <w:basedOn w:val="1"/>
    <w:next w:val="5"/>
    <w:qFormat/>
    <w:uiPriority w:val="0"/>
    <w:pPr>
      <w:keepNext/>
      <w:keepLines/>
      <w:spacing w:before="300" w:after="300" w:line="360" w:lineRule="auto"/>
      <w:jc w:val="center"/>
      <w:outlineLvl w:val="0"/>
    </w:pPr>
    <w:rPr>
      <w:b/>
      <w:kern w:val="44"/>
      <w:sz w:val="36"/>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2"/>
    <w:next w:val="3"/>
    <w:qFormat/>
    <w:uiPriority w:val="0"/>
    <w:pPr>
      <w:widowControl w:val="0"/>
      <w:autoSpaceDE w:val="0"/>
      <w:autoSpaceDN w:val="0"/>
      <w:adjustRightInd w:val="0"/>
    </w:pPr>
    <w:rPr>
      <w:rFonts w:ascii="黑体" w:hAnsi="Times New Roman" w:eastAsia="Times New Roman" w:cs="黑体"/>
      <w:color w:val="000000"/>
      <w:kern w:val="0"/>
      <w:sz w:val="24"/>
      <w:szCs w:val="24"/>
      <w:lang w:val="en-US" w:eastAsia="zh-TW" w:bidi="ar-SA"/>
    </w:rPr>
  </w:style>
  <w:style w:type="paragraph" w:customStyle="1" w:styleId="3">
    <w:name w:val="目录 91662"/>
    <w:next w:val="1"/>
    <w:qFormat/>
    <w:uiPriority w:val="0"/>
    <w:pPr>
      <w:wordWrap w:val="0"/>
      <w:ind w:left="2975"/>
      <w:jc w:val="both"/>
    </w:pPr>
    <w:rPr>
      <w:rFonts w:ascii="Times New Roman" w:hAnsi="Times New Roman" w:eastAsia="宋体" w:cs="Times New Roman"/>
      <w:kern w:val="0"/>
      <w:sz w:val="21"/>
      <w:szCs w:val="20"/>
      <w:lang w:val="en-US" w:eastAsia="zh-CN" w:bidi="ar-SA"/>
    </w:rPr>
  </w:style>
  <w:style w:type="paragraph" w:customStyle="1" w:styleId="5">
    <w:name w:val="正文2"/>
    <w:qFormat/>
    <w:uiPriority w:val="99"/>
    <w:pPr>
      <w:jc w:val="both"/>
    </w:pPr>
    <w:rPr>
      <w:rFonts w:ascii="Times New Roman" w:hAnsi="Times New Roman" w:eastAsia="宋体" w:cs="Times New Roman"/>
      <w:kern w:val="2"/>
      <w:sz w:val="21"/>
      <w:szCs w:val="21"/>
      <w:lang w:val="en-US" w:eastAsia="zh-CN" w:bidi="ar-SA"/>
    </w:rPr>
  </w:style>
  <w:style w:type="paragraph" w:styleId="7">
    <w:name w:val="Body Text"/>
    <w:basedOn w:val="1"/>
    <w:next w:val="8"/>
    <w:qFormat/>
    <w:uiPriority w:val="0"/>
    <w:pPr>
      <w:spacing w:after="120"/>
    </w:pPr>
  </w:style>
  <w:style w:type="paragraph" w:customStyle="1" w:styleId="8">
    <w:name w:val="xl27"/>
    <w:basedOn w:val="1"/>
    <w:next w:val="9"/>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9">
    <w:name w:val="Body Text Indent 2"/>
    <w:basedOn w:val="1"/>
    <w:next w:val="1"/>
    <w:qFormat/>
    <w:uiPriority w:val="0"/>
    <w:pPr>
      <w:spacing w:after="120" w:line="480" w:lineRule="auto"/>
      <w:ind w:left="200" w:leftChars="200"/>
    </w:pPr>
    <w:rPr>
      <w:rFonts w:ascii="Times New Roman" w:hAnsi="Times New Roman" w:cs="Times New Roman"/>
      <w:sz w:val="20"/>
      <w:szCs w:val="20"/>
    </w:rPr>
  </w:style>
  <w:style w:type="paragraph" w:styleId="10">
    <w:name w:val="Body Text Indent"/>
    <w:basedOn w:val="1"/>
    <w:next w:val="11"/>
    <w:link w:val="22"/>
    <w:qFormat/>
    <w:uiPriority w:val="0"/>
    <w:pPr>
      <w:spacing w:after="120"/>
      <w:ind w:left="283"/>
    </w:pPr>
    <w:rPr>
      <w:rFonts w:ascii="Times New Roman" w:hAnsi="Times New Roman" w:eastAsia="宋体" w:cs="Times New Roman"/>
    </w:rPr>
  </w:style>
  <w:style w:type="paragraph" w:styleId="11">
    <w:name w:val="Body Text First Indent 2"/>
    <w:basedOn w:val="10"/>
    <w:next w:val="1"/>
    <w:link w:val="23"/>
    <w:qFormat/>
    <w:uiPriority w:val="0"/>
    <w:pPr>
      <w:spacing w:after="200"/>
      <w:ind w:left="360" w:firstLine="360"/>
    </w:pPr>
    <w:rPr>
      <w:rFonts w:ascii="Times New Roman" w:hAnsi="Times New Roman" w:eastAsia="宋体" w:cs="Times New Roman"/>
    </w:rPr>
  </w:style>
  <w:style w:type="paragraph" w:styleId="12">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4">
    <w:name w:val="Body Text First Indent"/>
    <w:basedOn w:val="7"/>
    <w:next w:val="1"/>
    <w:unhideWhenUsed/>
    <w:qFormat/>
    <w:uiPriority w:val="99"/>
    <w:pPr>
      <w:keepNext w:val="0"/>
      <w:keepLines w:val="0"/>
      <w:widowControl/>
      <w:suppressLineNumbers w:val="0"/>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character" w:styleId="17">
    <w:name w:val="Hyperlink"/>
    <w:basedOn w:val="16"/>
    <w:unhideWhenUsed/>
    <w:qFormat/>
    <w:uiPriority w:val="99"/>
    <w:rPr>
      <w:color w:val="0000FF"/>
      <w:u w:val="single"/>
    </w:rPr>
  </w:style>
  <w:style w:type="paragraph" w:customStyle="1" w:styleId="18">
    <w:name w:val="Date1"/>
    <w:basedOn w:val="1"/>
    <w:next w:val="1"/>
    <w:qFormat/>
    <w:uiPriority w:val="0"/>
    <w:pPr>
      <w:widowControl w:val="0"/>
      <w:adjustRightInd w:val="0"/>
      <w:jc w:val="both"/>
      <w:textAlignment w:val="baseline"/>
    </w:pPr>
    <w:rPr>
      <w:rFonts w:cs="Times New Roman"/>
      <w:kern w:val="2"/>
      <w:sz w:val="21"/>
      <w:u w:val="none" w:color="FFFFFF"/>
    </w:rPr>
  </w:style>
  <w:style w:type="paragraph" w:customStyle="1" w:styleId="19">
    <w:name w:val="WPS Plain"/>
    <w:qFormat/>
    <w:uiPriority w:val="0"/>
    <w:rPr>
      <w:rFonts w:ascii="Times New Roman" w:hAnsi="Times New Roman" w:eastAsia="宋体" w:cs="Times New Roman"/>
      <w:lang w:val="en-US" w:eastAsia="zh-CN" w:bidi="ar-SA"/>
    </w:rPr>
  </w:style>
  <w:style w:type="paragraph" w:customStyle="1" w:styleId="20">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21">
    <w:name w:val="标题二"/>
    <w:basedOn w:val="1"/>
    <w:qFormat/>
    <w:uiPriority w:val="99"/>
  </w:style>
  <w:style w:type="character" w:customStyle="1" w:styleId="22">
    <w:name w:val="正文文本缩进 Char"/>
    <w:basedOn w:val="16"/>
    <w:link w:val="10"/>
    <w:qFormat/>
    <w:uiPriority w:val="0"/>
    <w:rPr>
      <w:rFonts w:hint="default" w:ascii="Times New Roman" w:hAnsi="Times New Roman" w:cs="Times New Roman"/>
    </w:rPr>
  </w:style>
  <w:style w:type="character" w:customStyle="1" w:styleId="23">
    <w:name w:val="正文首行缩进 2 Char"/>
    <w:basedOn w:val="22"/>
    <w:link w:val="11"/>
    <w:qFormat/>
    <w:uiPriority w:val="0"/>
    <w:rPr>
      <w:rFonts w:hint="default" w:ascii="Times New Roman" w:hAnsi="Times New Roman" w:cs="Times New Roman"/>
    </w:rPr>
  </w:style>
  <w:style w:type="character" w:customStyle="1" w:styleId="24">
    <w:name w:val="表格文字 Char"/>
    <w:basedOn w:val="16"/>
    <w:qFormat/>
    <w:uiPriority w:val="0"/>
    <w:rPr>
      <w:kern w:val="2"/>
      <w:sz w:val="21"/>
    </w:rPr>
  </w:style>
  <w:style w:type="character" w:customStyle="1" w:styleId="25">
    <w:name w:val="fontstyle01"/>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2683</Words>
  <Characters>2947</Characters>
  <Lines>0</Lines>
  <Paragraphs>0</Paragraphs>
  <TotalTime>10</TotalTime>
  <ScaleCrop>false</ScaleCrop>
  <LinksUpToDate>false</LinksUpToDate>
  <CharactersWithSpaces>3055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2021-07-21T01:25:00Z</dcterms:created>
  <dc:creator>hegx</dc:creator>
  <cp:lastModifiedBy>Administrator</cp:lastModifiedBy>
  <cp:lastPrinted>2022-03-01T02:51:00Z</cp:lastPrinted>
  <dcterms:modified xsi:type="dcterms:W3CDTF">2022-04-29T12:52:28Z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20571CD01278402DAACEE0C8C73281C3</vt:lpwstr>
  </property>
  <property fmtid="{D5CDD505-2E9C-101B-9397-08002B2CF9AE}" pid="4" name="commondata">
    <vt:lpwstr>eyJoZGlkIjoiNGZlNGZjYWYyNTBkYjc4NTc5ZmFjMmFiYzM0YzgyZjIifQ==</vt:lpwstr>
  </property>
</Properties>
</file>