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4"/>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4"/>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4"/>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11</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default"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w:t>
      </w:r>
      <w:bookmarkStart w:id="0" w:name="_Toc24499"/>
      <w:bookmarkStart w:id="1" w:name="_Toc24324"/>
      <w:bookmarkStart w:id="2" w:name="_Toc2253"/>
      <w:bookmarkStart w:id="3" w:name="_Toc2958"/>
      <w:bookmarkStart w:id="4" w:name="_Toc345"/>
      <w:bookmarkStart w:id="5" w:name="_Toc10479"/>
      <w:bookmarkStart w:id="6" w:name="_Toc3647"/>
      <w:r>
        <w:rPr>
          <w:rFonts w:hint="eastAsia" w:ascii="华文中宋" w:hAnsi="华文中宋" w:eastAsia="华文中宋" w:cs="黑体"/>
          <w:b/>
          <w:color w:val="000000"/>
          <w:sz w:val="36"/>
          <w:szCs w:val="36"/>
        </w:rPr>
        <w:t>岳阳凯米尔生物科技有限公司</w:t>
      </w:r>
      <w:bookmarkEnd w:id="0"/>
      <w:bookmarkEnd w:id="1"/>
      <w:bookmarkEnd w:id="2"/>
      <w:bookmarkEnd w:id="3"/>
      <w:bookmarkEnd w:id="4"/>
      <w:r>
        <w:rPr>
          <w:rFonts w:hint="eastAsia" w:ascii="华文中宋" w:hAnsi="华文中宋" w:eastAsia="华文中宋" w:cs="黑体"/>
          <w:b/>
          <w:color w:val="000000"/>
          <w:sz w:val="36"/>
          <w:szCs w:val="36"/>
        </w:rPr>
        <w:t>新建年产500吨2,4,6-三甲基苯甲酰基二苯基氧化膦、198.1吨三乙胺盐酸盐及年产66吨培南系列中间体搬迁项目</w:t>
      </w:r>
      <w:bookmarkEnd w:id="5"/>
      <w:bookmarkEnd w:id="6"/>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pStyle w:val="14"/>
        <w:spacing w:line="480" w:lineRule="exact"/>
        <w:ind w:left="177" w:hanging="177" w:hangingChars="49"/>
        <w:jc w:val="center"/>
        <w:textAlignment w:val="top"/>
        <w:rPr>
          <w:rFonts w:hint="eastAsia" w:ascii="黑体" w:hAnsi="黑体" w:eastAsia="黑体" w:cs="黑体"/>
          <w:b/>
          <w:color w:val="000000"/>
          <w:sz w:val="36"/>
          <w:szCs w:val="36"/>
        </w:rPr>
      </w:pPr>
    </w:p>
    <w:p>
      <w:pPr>
        <w:keepNext w:val="0"/>
        <w:keepLines w:val="0"/>
        <w:pageBreakBefore w:val="0"/>
        <w:kinsoku/>
        <w:wordWrap/>
        <w:overflowPunct/>
        <w:topLinePunct w:val="0"/>
        <w:autoSpaceDE w:val="0"/>
        <w:autoSpaceDN/>
        <w:bidi w:val="0"/>
        <w:adjustRightInd/>
        <w:spacing w:line="514" w:lineRule="exact"/>
        <w:ind w:left="0" w:leftChars="0" w:firstLine="0" w:firstLineChars="0"/>
        <w:textAlignment w:val="auto"/>
        <w:rPr>
          <w:rFonts w:hint="eastAsia" w:ascii="仿宋" w:hAnsi="仿宋" w:eastAsia="仿宋"/>
          <w:color w:val="000000"/>
          <w:sz w:val="32"/>
          <w:szCs w:val="32"/>
        </w:rPr>
      </w:pPr>
      <w:r>
        <w:rPr>
          <w:rFonts w:ascii="仿宋" w:hAnsi="仿宋" w:eastAsia="仿宋"/>
          <w:color w:val="000000"/>
          <w:sz w:val="32"/>
          <w:szCs w:val="32"/>
        </w:rPr>
        <w:t>岳阳凯米尔生物科技有限公司：</w:t>
      </w:r>
    </w:p>
    <w:p>
      <w:pPr>
        <w:keepNext w:val="0"/>
        <w:keepLines w:val="0"/>
        <w:pageBreakBefore w:val="0"/>
        <w:kinsoku/>
        <w:wordWrap/>
        <w:overflowPunct/>
        <w:topLinePunct w:val="0"/>
        <w:autoSpaceDE w:val="0"/>
        <w:autoSpaceDN/>
        <w:bidi w:val="0"/>
        <w:adjustRightInd/>
        <w:spacing w:line="514" w:lineRule="exact"/>
        <w:ind w:firstLine="645"/>
        <w:textAlignment w:val="auto"/>
        <w:rPr>
          <w:rFonts w:ascii="仿宋" w:hAnsi="仿宋" w:eastAsia="仿宋"/>
          <w:color w:val="000000"/>
          <w:sz w:val="32"/>
          <w:szCs w:val="32"/>
        </w:rPr>
      </w:pPr>
      <w:r>
        <w:rPr>
          <w:rFonts w:ascii="仿宋" w:hAnsi="仿宋" w:eastAsia="仿宋"/>
          <w:color w:val="000000"/>
          <w:sz w:val="32"/>
          <w:szCs w:val="32"/>
        </w:rPr>
        <w:t>你公司《关于请求对&lt;岳阳凯米尔生物科技有限公司新建年产500吨2,4,6-三甲基苯甲酰基二苯基氧化膦、198.1吨三乙胺盐酸盐及年产66吨培南系列中间体搬迁项目环境影响报</w:t>
      </w:r>
      <w:r>
        <w:rPr>
          <w:rFonts w:hint="eastAsia" w:ascii="仿宋" w:hAnsi="仿宋" w:eastAsia="仿宋"/>
          <w:color w:val="000000"/>
          <w:sz w:val="32"/>
          <w:szCs w:val="32"/>
          <w:lang w:val="en-US" w:eastAsia="zh-CN"/>
        </w:rPr>
        <w:t>告</w:t>
      </w:r>
      <w:r>
        <w:rPr>
          <w:rFonts w:ascii="仿宋" w:hAnsi="仿宋" w:eastAsia="仿宋"/>
          <w:color w:val="000000"/>
          <w:sz w:val="32"/>
          <w:szCs w:val="32"/>
        </w:rPr>
        <w:t>书&gt;进行批复的请示》，岳阳市生态环境局云溪分局的预审意见及有关附件收悉。经研究，批复如下：</w:t>
      </w:r>
    </w:p>
    <w:p>
      <w:pPr>
        <w:pStyle w:val="10"/>
        <w:keepNext w:val="0"/>
        <w:keepLines w:val="0"/>
        <w:pageBreakBefore w:val="0"/>
        <w:kinsoku/>
        <w:wordWrap/>
        <w:overflowPunct/>
        <w:topLinePunct w:val="0"/>
        <w:autoSpaceDE w:val="0"/>
        <w:autoSpaceDN/>
        <w:bidi w:val="0"/>
        <w:adjustRightInd/>
        <w:spacing w:after="0" w:line="514" w:lineRule="exact"/>
        <w:ind w:firstLine="640" w:firstLineChars="200"/>
        <w:textAlignment w:val="auto"/>
        <w:rPr>
          <w:rFonts w:ascii="仿宋" w:hAnsi="仿宋" w:eastAsia="仿宋"/>
          <w:sz w:val="32"/>
          <w:szCs w:val="32"/>
        </w:rPr>
      </w:pPr>
      <w:r>
        <w:rPr>
          <w:rFonts w:ascii="仿宋" w:hAnsi="仿宋" w:eastAsia="仿宋"/>
          <w:color w:val="000000"/>
          <w:sz w:val="32"/>
          <w:szCs w:val="32"/>
        </w:rPr>
        <w:t>一、你公司拟投资3000万元（环保投资约190万元）新建年产500吨2,4,6-三甲基苯甲酰基二苯基氧化膦、198.1吨三乙胺盐酸盐及年产66吨培南系列中间体搬迁项目。项目位于湖南岳阳绿色化工高新技术产业开发区云溪片区内，主要建设内容包括：主体工程：新建5套生产装置（2,4,6-三甲基苯甲酰基二苯基氧化膦装置、10吨/年美罗培南中间体装置、50吨/年美罗培南侧链装置、3吨/年厄他培南中间体装置、3吨/年比阿培南中间体装置各一套）；储运工程：甲类仓库1栋，设置4个防火分区，防火分区分别为1</w:t>
      </w:r>
      <w:r>
        <w:rPr>
          <w:rFonts w:ascii="仿宋" w:hAnsi="仿宋" w:eastAsia="仿宋"/>
          <w:color w:val="000000"/>
          <w:sz w:val="32"/>
          <w:szCs w:val="32"/>
          <w:vertAlign w:val="superscript"/>
        </w:rPr>
        <w:t>#</w:t>
      </w:r>
      <w:r>
        <w:rPr>
          <w:rFonts w:ascii="仿宋" w:hAnsi="仿宋" w:eastAsia="仿宋"/>
          <w:color w:val="000000"/>
          <w:sz w:val="32"/>
          <w:szCs w:val="32"/>
        </w:rPr>
        <w:t>原料储存间、2</w:t>
      </w:r>
      <w:r>
        <w:rPr>
          <w:rFonts w:ascii="仿宋" w:hAnsi="仿宋" w:eastAsia="仿宋"/>
          <w:color w:val="000000"/>
          <w:sz w:val="32"/>
          <w:szCs w:val="32"/>
          <w:vertAlign w:val="superscript"/>
        </w:rPr>
        <w:t>#</w:t>
      </w:r>
      <w:r>
        <w:rPr>
          <w:rFonts w:ascii="仿宋" w:hAnsi="仿宋" w:eastAsia="仿宋"/>
          <w:color w:val="000000"/>
          <w:sz w:val="32"/>
          <w:szCs w:val="32"/>
        </w:rPr>
        <w:t>原料储存间、产品储存间、固废间。原料、产品的厂外运输全部由有资质运输企业承担，以公路运输为主；厂内液体物料主要采用管道输送；辅助工程：控制室、消防水池、装卸操作场地、综合水泵房及变配电室、厂区道路、软水制备、循环水系统等；给排水、供电等公用工程和废气、废水处理等环保工程以及应急设施等。项目产品方案为年产500吨2,4,6-三甲基苯甲酰基二苯基氧化膦、198.1吨三乙胺盐酸盐、10吨/年美罗培南中间体、50吨/年美罗培南侧链、3吨/年厄他培南中间体、3吨/年比阿培南中间体。项目已取得湖南岳阳绿色化工产业园管理委员会的准入许可（湘岳绿园准通</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〕22</w:t>
      </w:r>
      <w:r>
        <w:rPr>
          <w:rFonts w:ascii="仿宋" w:hAnsi="仿宋" w:eastAsia="仿宋"/>
          <w:color w:val="000000"/>
          <w:sz w:val="32"/>
          <w:szCs w:val="32"/>
        </w:rPr>
        <w:t>号）和岳阳市云溪区发展和改革局的备案</w:t>
      </w:r>
      <w:r>
        <w:rPr>
          <w:rFonts w:hint="eastAsia" w:ascii="仿宋" w:hAnsi="仿宋" w:eastAsia="仿宋"/>
          <w:color w:val="000000"/>
          <w:sz w:val="32"/>
          <w:szCs w:val="32"/>
          <w:lang w:val="en-US" w:eastAsia="zh-CN"/>
        </w:rPr>
        <w:t>文件</w:t>
      </w:r>
      <w:r>
        <w:rPr>
          <w:rFonts w:ascii="仿宋" w:hAnsi="仿宋" w:eastAsia="仿宋"/>
          <w:color w:val="000000"/>
          <w:sz w:val="32"/>
          <w:szCs w:val="32"/>
        </w:rPr>
        <w:t>（岳云发改备</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〕41</w:t>
      </w:r>
      <w:r>
        <w:rPr>
          <w:rFonts w:ascii="仿宋" w:hAnsi="仿宋" w:eastAsia="仿宋"/>
          <w:color w:val="000000"/>
          <w:sz w:val="32"/>
          <w:szCs w:val="32"/>
        </w:rPr>
        <w:t>号）。根据</w:t>
      </w:r>
      <w:r>
        <w:rPr>
          <w:rFonts w:hint="eastAsia" w:ascii="仿宋" w:hAnsi="仿宋" w:eastAsia="仿宋" w:cs="Times New Roman"/>
          <w:kern w:val="2"/>
          <w:sz w:val="32"/>
          <w:szCs w:val="32"/>
        </w:rPr>
        <w:t>湖南志远环境咨询服务有限公</w:t>
      </w:r>
      <w:r>
        <w:rPr>
          <w:rFonts w:ascii="仿宋" w:hAnsi="仿宋" w:eastAsia="仿宋"/>
          <w:color w:val="000000"/>
          <w:sz w:val="32"/>
          <w:szCs w:val="32"/>
        </w:rPr>
        <w:t>司编</w:t>
      </w:r>
      <w:r>
        <w:rPr>
          <w:rFonts w:hint="eastAsia" w:ascii="仿宋" w:hAnsi="仿宋" w:eastAsia="仿宋" w:cs="Times New Roman"/>
          <w:kern w:val="2"/>
          <w:sz w:val="32"/>
          <w:szCs w:val="32"/>
        </w:rPr>
        <w:t>制的《岳</w:t>
      </w:r>
      <w:r>
        <w:rPr>
          <w:rFonts w:ascii="仿宋" w:hAnsi="仿宋" w:eastAsia="仿宋"/>
          <w:color w:val="000000"/>
          <w:sz w:val="32"/>
          <w:szCs w:val="32"/>
        </w:rPr>
        <w:t>阳凯米尔生物科技有限公司新建年产500吨2,4,6-三甲基苯甲酰基二苯基氧化膦、198.1吨三乙胺盐酸盐及年产66吨培南系列中间体搬迁项目环境影响报告书（报批稿）》基本内容、结论、专家评审意见及岳阳市生态环境局云溪分局预审意见，从环境保护角度考虑，</w:t>
      </w:r>
      <w:r>
        <w:rPr>
          <w:rFonts w:hint="eastAsia" w:ascii="仿宋" w:hAnsi="仿宋" w:eastAsia="仿宋"/>
          <w:sz w:val="32"/>
          <w:szCs w:val="32"/>
        </w:rPr>
        <w:t>我局原则同意你公司环境影响报告书中所列建设项目的环境影响评价结论和环境保护对策措施。</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olor w:val="000000"/>
          <w:sz w:val="32"/>
          <w:szCs w:val="32"/>
        </w:rPr>
      </w:pPr>
      <w:r>
        <w:rPr>
          <w:rFonts w:ascii="仿宋" w:hAnsi="仿宋" w:eastAsia="仿宋"/>
          <w:color w:val="000000"/>
          <w:sz w:val="32"/>
          <w:szCs w:val="32"/>
        </w:rPr>
        <w:t>二、</w:t>
      </w:r>
      <w:r>
        <w:rPr>
          <w:rFonts w:hint="eastAsia" w:ascii="仿宋" w:hAnsi="仿宋" w:eastAsia="仿宋"/>
          <w:sz w:val="32"/>
          <w:szCs w:val="32"/>
        </w:rPr>
        <w:t>项目建设和运营必须全面落实环境影响报告书提出的各项环保措施，并着重做好以下工作：</w:t>
      </w:r>
    </w:p>
    <w:p>
      <w:pPr>
        <w:keepNext w:val="0"/>
        <w:keepLines w:val="0"/>
        <w:pageBreakBefore w:val="0"/>
        <w:kinsoku/>
        <w:wordWrap/>
        <w:overflowPunct/>
        <w:topLinePunct w:val="0"/>
        <w:autoSpaceDE w:val="0"/>
        <w:autoSpaceDN/>
        <w:bidi w:val="0"/>
        <w:adjustRightInd/>
        <w:spacing w:line="514" w:lineRule="exact"/>
        <w:ind w:firstLine="640"/>
        <w:textAlignment w:val="auto"/>
        <w:rPr>
          <w:rFonts w:ascii="仿宋" w:hAnsi="仿宋" w:eastAsia="仿宋"/>
          <w:sz w:val="32"/>
          <w:szCs w:val="32"/>
        </w:rPr>
      </w:pPr>
      <w:bookmarkStart w:id="7" w:name="OLE_LINK2"/>
      <w:bookmarkEnd w:id="7"/>
      <w:r>
        <w:rPr>
          <w:rFonts w:hint="eastAsia" w:ascii="仿宋" w:hAnsi="仿宋" w:eastAsia="仿宋"/>
          <w:sz w:val="32"/>
          <w:szCs w:val="32"/>
        </w:rPr>
        <w:t>（一）施工期环境管理工作。项目为搬迁项目，须加强各类物料与设备搬迁过程中的管理工作，严格按规范进行运输搬迁操作，避免产生环境影响问题。</w:t>
      </w:r>
      <w:r>
        <w:rPr>
          <w:rFonts w:hint="eastAsia" w:ascii="仿宋" w:hAnsi="仿宋" w:eastAsia="仿宋" w:cs="宋体"/>
          <w:sz w:val="32"/>
          <w:szCs w:val="32"/>
        </w:rPr>
        <w:t>加强施工期环境管理，优化施工工艺，科学施工</w:t>
      </w:r>
      <w:r>
        <w:rPr>
          <w:rFonts w:hint="eastAsia" w:ascii="仿宋" w:hAnsi="仿宋" w:eastAsia="仿宋"/>
          <w:sz w:val="32"/>
          <w:szCs w:val="32"/>
        </w:rPr>
        <w:t>。</w:t>
      </w:r>
      <w:r>
        <w:rPr>
          <w:rFonts w:hint="eastAsia" w:ascii="仿宋" w:hAnsi="仿宋" w:eastAsia="仿宋" w:cs="宋体"/>
          <w:sz w:val="32"/>
          <w:szCs w:val="32"/>
        </w:rPr>
        <w:t>施工废水经沉淀池处理后回用于洒水抑尘；施工人员生活污水经</w:t>
      </w:r>
      <w:r>
        <w:rPr>
          <w:rFonts w:hint="eastAsia" w:ascii="仿宋" w:hAnsi="仿宋" w:eastAsia="仿宋" w:cs="宋体"/>
          <w:sz w:val="32"/>
          <w:szCs w:val="32"/>
          <w:lang w:val="en-US" w:eastAsia="zh-CN"/>
        </w:rPr>
        <w:t>化粪池处理后由</w:t>
      </w:r>
      <w:r>
        <w:rPr>
          <w:rFonts w:hint="eastAsia" w:ascii="仿宋" w:hAnsi="仿宋" w:eastAsia="仿宋" w:cs="宋体"/>
          <w:sz w:val="32"/>
          <w:szCs w:val="32"/>
        </w:rPr>
        <w:t>园区污水管网排入</w:t>
      </w:r>
      <w:r>
        <w:rPr>
          <w:rFonts w:hint="eastAsia" w:ascii="仿宋" w:hAnsi="仿宋" w:eastAsia="仿宋" w:cs="宋体"/>
          <w:sz w:val="32"/>
          <w:szCs w:val="32"/>
          <w:lang w:val="en-US" w:eastAsia="zh-CN"/>
        </w:rPr>
        <w:t>岳阳华浩水处理有限公司</w:t>
      </w:r>
      <w:r>
        <w:rPr>
          <w:rFonts w:hint="eastAsia" w:ascii="仿宋" w:hAnsi="仿宋" w:eastAsia="仿宋" w:cs="宋体"/>
          <w:sz w:val="32"/>
          <w:szCs w:val="32"/>
        </w:rPr>
        <w:t>达标处理。</w:t>
      </w:r>
      <w:r>
        <w:rPr>
          <w:rFonts w:hint="eastAsia" w:ascii="仿宋" w:hAnsi="仿宋" w:eastAsia="仿宋"/>
          <w:sz w:val="32"/>
          <w:szCs w:val="32"/>
        </w:rPr>
        <w:t>选用低噪声设备，合理安排施工时间和运输路线，确保施工噪声满足《建筑施工场界环境噪声排放标准》（GB12523-2011）要求。强化施工扬尘防治措施，采取洒水抑尘、围挡、覆盖等措施，使用商品混凝土。建筑垃圾收集后交相关部门统一处理。</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sz w:val="32"/>
          <w:szCs w:val="32"/>
        </w:rPr>
      </w:pPr>
      <w:r>
        <w:rPr>
          <w:rFonts w:hint="eastAsia" w:ascii="仿宋" w:hAnsi="仿宋" w:eastAsia="仿宋"/>
          <w:sz w:val="32"/>
          <w:szCs w:val="32"/>
        </w:rPr>
        <w:t>（二）废水污染防治工作。严格按“雨污分流、清污分流、污污分流”原则建设好厂区排水管网系统并与园区污水管网做好对接工作。项目TPO工艺废水（真空泵机组废水）、培南类项目生产工艺废水（含有机物废水及真空泵机组废水）、设备清洗废水、地面清洗废水、初期雨水、废气喷淋塔底渣废水和软水制备过程产生的反冲洗废水等生产废水经收集由厂内废水处理站处理满足</w:t>
      </w:r>
      <w:r>
        <w:rPr>
          <w:rFonts w:hint="eastAsia" w:ascii="仿宋" w:hAnsi="仿宋" w:eastAsia="仿宋"/>
          <w:sz w:val="32"/>
          <w:szCs w:val="32"/>
          <w:lang w:val="en-US" w:eastAsia="zh-CN"/>
        </w:rPr>
        <w:t>岳阳广华污水处理有限公司</w:t>
      </w:r>
      <w:r>
        <w:rPr>
          <w:rFonts w:hint="eastAsia" w:ascii="仿宋" w:hAnsi="仿宋" w:eastAsia="仿宋"/>
          <w:sz w:val="32"/>
          <w:szCs w:val="32"/>
        </w:rPr>
        <w:t>进水水质接纳标准后经园区污水管网</w:t>
      </w:r>
      <w:r>
        <w:rPr>
          <w:rFonts w:hint="eastAsia" w:ascii="仿宋" w:hAnsi="仿宋" w:eastAsia="仿宋"/>
          <w:sz w:val="32"/>
          <w:szCs w:val="32"/>
          <w:lang w:val="en-US" w:eastAsia="zh-CN"/>
        </w:rPr>
        <w:t>排入岳阳广华污水处理有限公司</w:t>
      </w:r>
      <w:r>
        <w:rPr>
          <w:rFonts w:hint="eastAsia" w:ascii="仿宋" w:hAnsi="仿宋" w:eastAsia="仿宋"/>
          <w:sz w:val="32"/>
          <w:szCs w:val="32"/>
        </w:rPr>
        <w:t>达标处理。生活废水经化粪池处理满足</w:t>
      </w:r>
      <w:r>
        <w:rPr>
          <w:rFonts w:hint="eastAsia" w:ascii="仿宋" w:hAnsi="仿宋" w:eastAsia="仿宋"/>
          <w:sz w:val="32"/>
          <w:szCs w:val="32"/>
          <w:lang w:val="en-US" w:eastAsia="zh-CN"/>
        </w:rPr>
        <w:t>岳阳华浩水处理有限公司</w:t>
      </w:r>
      <w:r>
        <w:rPr>
          <w:rFonts w:hint="eastAsia" w:ascii="仿宋" w:hAnsi="仿宋" w:eastAsia="仿宋"/>
          <w:sz w:val="32"/>
          <w:szCs w:val="32"/>
        </w:rPr>
        <w:t>进水水质接纳标准后经园区污水管网</w:t>
      </w:r>
      <w:r>
        <w:rPr>
          <w:rFonts w:hint="eastAsia" w:ascii="仿宋" w:hAnsi="仿宋" w:eastAsia="仿宋"/>
          <w:sz w:val="32"/>
          <w:szCs w:val="32"/>
          <w:lang w:val="en-US" w:eastAsia="zh-CN"/>
        </w:rPr>
        <w:t>排入岳阳华浩水处理有限公司</w:t>
      </w:r>
      <w:r>
        <w:rPr>
          <w:rFonts w:hint="eastAsia" w:ascii="仿宋" w:hAnsi="仿宋" w:eastAsia="仿宋"/>
          <w:sz w:val="32"/>
          <w:szCs w:val="32"/>
        </w:rPr>
        <w:t>达标处理。</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s="_4eff_5b8b_GB2312"/>
          <w:bCs/>
          <w:color w:val="000000"/>
          <w:sz w:val="32"/>
          <w:szCs w:val="32"/>
        </w:rPr>
      </w:pPr>
      <w:r>
        <w:rPr>
          <w:rFonts w:ascii="仿宋" w:hAnsi="仿宋" w:eastAsia="仿宋"/>
          <w:sz w:val="32"/>
          <w:szCs w:val="32"/>
        </w:rPr>
        <w:t>（三）</w:t>
      </w:r>
      <w:r>
        <w:rPr>
          <w:rFonts w:hint="eastAsia" w:ascii="仿宋" w:hAnsi="仿宋" w:eastAsia="仿宋" w:cs="_4eff_5b8b_GB2312"/>
          <w:bCs/>
          <w:color w:val="000000"/>
          <w:sz w:val="32"/>
          <w:szCs w:val="32"/>
        </w:rPr>
        <w:t>地下水污染防治工作。按照分区防控的原则落实报告书提出的地下水污染防治措施，做好设备、装置区和装卸区地面、污水处理设施、事故池、初期雨水池等各类池体、危废暂存间和地下污水管网等生产功能单元的分区防腐、防渗工作，避免由于防渗层破损造成污染物下渗污染地下水；根据《环境影响评价技术导则地下水环境》(HJ610-2016)要求，做好跟踪监测工作，确保地下水环境安全。</w:t>
      </w:r>
    </w:p>
    <w:p>
      <w:pPr>
        <w:pStyle w:val="16"/>
        <w:keepNext w:val="0"/>
        <w:keepLines w:val="0"/>
        <w:pageBreakBefore w:val="0"/>
        <w:kinsoku/>
        <w:wordWrap/>
        <w:overflowPunct/>
        <w:topLinePunct w:val="0"/>
        <w:autoSpaceDE w:val="0"/>
        <w:autoSpaceDN/>
        <w:bidi w:val="0"/>
        <w:adjustRightInd/>
        <w:snapToGrid w:val="0"/>
        <w:spacing w:line="514" w:lineRule="exact"/>
        <w:ind w:firstLine="640"/>
        <w:textAlignment w:val="auto"/>
        <w:rPr>
          <w:rFonts w:hint="eastAsia" w:ascii="仿宋" w:hAnsi="仿宋" w:eastAsia="仿宋" w:cs="_4eff_5b8b_GB2312"/>
          <w:bCs/>
          <w:color w:val="000000"/>
          <w:sz w:val="32"/>
          <w:szCs w:val="32"/>
        </w:rPr>
      </w:pPr>
      <w:r>
        <w:rPr>
          <w:rFonts w:hint="eastAsia" w:ascii="仿宋" w:hAnsi="仿宋" w:eastAsia="仿宋" w:cs="_4eff_5b8b_GB2312"/>
          <w:bCs/>
          <w:color w:val="000000"/>
          <w:sz w:val="32"/>
          <w:szCs w:val="32"/>
        </w:rPr>
        <w:t>（四）废气污染防治工作。严格控制项目废气污染，所有液体物料均由密闭管道输送，规范建设废气集排气系统，及时更换、更新活性炭等废气处理物料。项目生产产生的不凝气、反应废气等有机废气经收集后，经二级冷凝（一氯甲烷采用70℃的碱水反应罐处理）+碱液喷淋+干燥+二级活性炭吸附处理，满足《石油化学工业污染物排放标准》（GB31571-2015）中相关标准限值要求后由18米高排气筒外排。加强日常监管，定期对设备、装置、阀门、管路管线、机泵等进行维护和管理，杜绝生产过程中的跑、冒、滴、漏，最大限度减少生产过程中的废气无组织排放，确保厂界大气污染物无组织废气</w:t>
      </w:r>
      <w:r>
        <w:rPr>
          <w:rFonts w:hint="eastAsia" w:ascii="仿宋" w:hAnsi="仿宋" w:eastAsia="仿宋" w:cs="_4eff_5b8b_GB2312"/>
          <w:bCs/>
          <w:color w:val="000000"/>
          <w:sz w:val="32"/>
          <w:szCs w:val="32"/>
          <w:lang w:val="en-US" w:eastAsia="zh-CN"/>
        </w:rPr>
        <w:t>排放</w:t>
      </w:r>
      <w:r>
        <w:rPr>
          <w:rFonts w:hint="eastAsia" w:ascii="仿宋" w:hAnsi="仿宋" w:eastAsia="仿宋" w:cs="_4eff_5b8b_GB2312"/>
          <w:bCs/>
          <w:color w:val="000000"/>
          <w:sz w:val="32"/>
          <w:szCs w:val="32"/>
        </w:rPr>
        <w:t>满足《石油化学工业污染物排放标准》（GB31571-2015）表7中相关标准限值要求。</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s="_4eff_5b8b_GB2312"/>
          <w:bCs/>
          <w:color w:val="000000"/>
          <w:sz w:val="32"/>
          <w:szCs w:val="32"/>
        </w:rPr>
      </w:pPr>
      <w:r>
        <w:rPr>
          <w:rFonts w:hint="eastAsia" w:ascii="仿宋" w:hAnsi="仿宋" w:eastAsia="仿宋" w:cs="_4eff_5b8b_GB2312"/>
          <w:bCs/>
          <w:color w:val="000000"/>
          <w:sz w:val="32"/>
          <w:szCs w:val="32"/>
        </w:rPr>
        <w:t>（五）噪声污染防治工作。合理布局，采用低噪声设备，加强生产设备的日常维护保养工作，对真空泵、离心机等主要噪声源设备采取隔声、减振等措施，确保厂界噪声达到《工业企业厂界环境噪声排放标准》(GB12348-2008)中的3类标准要求。</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sz w:val="32"/>
          <w:szCs w:val="32"/>
          <w:u w:val="single"/>
        </w:rPr>
      </w:pPr>
      <w:r>
        <w:rPr>
          <w:rFonts w:hint="eastAsia" w:ascii="仿宋" w:hAnsi="仿宋" w:eastAsia="仿宋" w:cs="_4eff_5b8b_GB2312"/>
          <w:bCs/>
          <w:color w:val="000000"/>
          <w:sz w:val="32"/>
          <w:szCs w:val="32"/>
        </w:rPr>
        <w:t>（六）</w:t>
      </w:r>
      <w:r>
        <w:rPr>
          <w:rFonts w:hint="eastAsia" w:ascii="仿宋" w:hAnsi="仿宋" w:eastAsia="仿宋"/>
          <w:sz w:val="32"/>
          <w:szCs w:val="32"/>
        </w:rPr>
        <w:t>固体废物管理工作。根据“无害化、减量化、资源化”原则，严格落实《危险废物贮存污染控制标准（GB18597-2001）》及其2013年修改单和《危险废物收集贮存运输技术规范》（HJ 2025-2012）以及《</w:t>
      </w:r>
      <w:r>
        <w:rPr>
          <w:rFonts w:ascii="仿宋" w:hAnsi="仿宋" w:eastAsia="仿宋"/>
          <w:sz w:val="32"/>
          <w:szCs w:val="32"/>
        </w:rPr>
        <w:fldChar w:fldCharType="begin"/>
      </w:r>
      <w:r>
        <w:rPr>
          <w:rFonts w:ascii="仿宋" w:hAnsi="仿宋" w:eastAsia="仿宋"/>
          <w:sz w:val="32"/>
          <w:szCs w:val="32"/>
        </w:rPr>
        <w:instrText xml:space="preserve"> HYPERLINK "http://www.mee.gov.cn/ywgz/fgbz/bz/bzwb/gthw/gtfwwrkzbz/202012/W020201218695845325455.pdf" </w:instrText>
      </w:r>
      <w:r>
        <w:rPr>
          <w:rFonts w:ascii="仿宋" w:hAnsi="仿宋" w:eastAsia="仿宋"/>
          <w:sz w:val="32"/>
          <w:szCs w:val="32"/>
        </w:rPr>
        <w:fldChar w:fldCharType="separate"/>
      </w:r>
      <w:r>
        <w:rPr>
          <w:rStyle w:val="13"/>
          <w:rFonts w:hint="eastAsia" w:ascii="仿宋" w:hAnsi="仿宋" w:eastAsia="仿宋"/>
          <w:color w:val="auto"/>
          <w:sz w:val="32"/>
          <w:szCs w:val="32"/>
          <w:u w:val="none"/>
        </w:rPr>
        <w:t>一般工业固体废物贮存和填埋污染控制标准（GB18599-2020）</w:t>
      </w:r>
      <w:r>
        <w:rPr>
          <w:rFonts w:ascii="仿宋" w:hAnsi="仿宋" w:eastAsia="仿宋"/>
          <w:sz w:val="32"/>
          <w:szCs w:val="32"/>
        </w:rPr>
        <w:fldChar w:fldCharType="end"/>
      </w:r>
      <w:r>
        <w:rPr>
          <w:rFonts w:hint="eastAsia" w:ascii="仿宋" w:hAnsi="仿宋" w:eastAsia="仿宋"/>
          <w:color w:val="000000"/>
          <w:sz w:val="32"/>
          <w:szCs w:val="32"/>
        </w:rPr>
        <w:t>》相关标</w:t>
      </w:r>
      <w:r>
        <w:rPr>
          <w:rFonts w:hint="eastAsia" w:ascii="仿宋" w:hAnsi="仿宋" w:eastAsia="仿宋"/>
          <w:sz w:val="32"/>
          <w:szCs w:val="32"/>
        </w:rPr>
        <w:t>准和规定要求，规范建设危险废物暂存间，做好各类固体废物分类收集、暂存工作，建立健全固体废物产生、收集、储存、转运、处置等相关管理台帐。项目产生的废活性炭、废包装材料、废离心滤布、废矿物油、废水处理污泥、残渣等危险废物经收集交由有资质单位安全处置并严格执行转移联单制度；</w:t>
      </w:r>
      <w:r>
        <w:rPr>
          <w:rFonts w:hint="eastAsia" w:ascii="仿宋" w:hAnsi="仿宋" w:eastAsia="仿宋"/>
          <w:sz w:val="32"/>
          <w:szCs w:val="32"/>
          <w:u w:val="none"/>
        </w:rPr>
        <w:t>废离子交换树脂、</w:t>
      </w:r>
      <w:r>
        <w:rPr>
          <w:rFonts w:hint="eastAsia" w:ascii="仿宋" w:hAnsi="仿宋" w:eastAsia="仿宋"/>
          <w:sz w:val="32"/>
          <w:szCs w:val="32"/>
        </w:rPr>
        <w:t>一般废包装袋、箱等一般工业固体废物经收集后综合利用；生活垃圾经收集后交由环卫部门统一处理</w:t>
      </w:r>
      <w:bookmarkStart w:id="8" w:name="_GoBack"/>
      <w:bookmarkEnd w:id="8"/>
      <w:r>
        <w:rPr>
          <w:rFonts w:hint="eastAsia" w:ascii="仿宋" w:hAnsi="仿宋" w:eastAsia="仿宋"/>
          <w:sz w:val="32"/>
          <w:szCs w:val="32"/>
        </w:rPr>
        <w:t>。</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sz w:val="32"/>
          <w:szCs w:val="32"/>
        </w:rPr>
      </w:pPr>
      <w:r>
        <w:rPr>
          <w:rFonts w:hint="eastAsia" w:ascii="仿宋" w:hAnsi="仿宋" w:eastAsia="仿宋" w:cs="_4eff_5b8b_GB2312"/>
          <w:bCs/>
          <w:color w:val="000000"/>
          <w:sz w:val="32"/>
          <w:szCs w:val="32"/>
        </w:rPr>
        <w:t>（七）</w:t>
      </w:r>
      <w:r>
        <w:rPr>
          <w:rFonts w:hint="eastAsia" w:ascii="仿宋" w:hAnsi="仿宋" w:eastAsia="仿宋"/>
          <w:sz w:val="32"/>
          <w:szCs w:val="32"/>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应急设施，按照《突发环境事件应急管理办法》修订完善突发环境事件应急预案，储备风险救助物资并定期组织演练，杜绝环境风险事故发生，确保周边环境安全。</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s="_4eff_5b8b_GB2312"/>
          <w:bCs/>
          <w:color w:val="000000"/>
          <w:sz w:val="32"/>
          <w:szCs w:val="32"/>
        </w:rPr>
      </w:pPr>
      <w:r>
        <w:rPr>
          <w:rFonts w:hint="eastAsia" w:ascii="仿宋" w:hAnsi="仿宋" w:eastAsia="仿宋"/>
          <w:sz w:val="32"/>
          <w:szCs w:val="32"/>
        </w:rPr>
        <w:t>（八）</w:t>
      </w:r>
      <w:r>
        <w:rPr>
          <w:rFonts w:hint="eastAsia" w:ascii="仿宋" w:hAnsi="仿宋" w:eastAsia="仿宋" w:cs="_4eff_5b8b_GB2312"/>
          <w:bCs/>
          <w:color w:val="000000"/>
          <w:sz w:val="32"/>
          <w:szCs w:val="32"/>
        </w:rPr>
        <w:t>本项目主要污染物总量控制指标为COD</w:t>
      </w:r>
      <w:r>
        <w:rPr>
          <w:rFonts w:hint="eastAsia" w:ascii="仿宋" w:hAnsi="仿宋" w:eastAsia="仿宋"/>
          <w:spacing w:val="-11"/>
          <w:sz w:val="32"/>
          <w:szCs w:val="32"/>
        </w:rPr>
        <w:t>≤</w:t>
      </w:r>
      <w:r>
        <w:rPr>
          <w:rFonts w:hint="eastAsia" w:ascii="仿宋" w:hAnsi="仿宋" w:eastAsia="仿宋" w:cs="_4eff_5b8b_GB2312"/>
          <w:bCs/>
          <w:color w:val="000000"/>
          <w:sz w:val="32"/>
          <w:szCs w:val="32"/>
        </w:rPr>
        <w:t>0.5t/a、氨氮</w:t>
      </w:r>
      <w:r>
        <w:rPr>
          <w:rFonts w:hint="eastAsia" w:ascii="仿宋" w:hAnsi="仿宋" w:eastAsia="仿宋"/>
          <w:spacing w:val="-11"/>
          <w:sz w:val="32"/>
          <w:szCs w:val="32"/>
        </w:rPr>
        <w:t>≤</w:t>
      </w:r>
      <w:r>
        <w:rPr>
          <w:rFonts w:hint="eastAsia" w:ascii="仿宋" w:hAnsi="仿宋" w:eastAsia="仿宋" w:cs="_4eff_5b8b_GB2312"/>
          <w:bCs/>
          <w:color w:val="000000"/>
          <w:sz w:val="32"/>
          <w:szCs w:val="32"/>
        </w:rPr>
        <w:t>0.1t/a、VOCs</w:t>
      </w:r>
      <w:r>
        <w:rPr>
          <w:rFonts w:hint="eastAsia" w:ascii="仿宋" w:hAnsi="仿宋" w:eastAsia="仿宋"/>
          <w:spacing w:val="-11"/>
          <w:sz w:val="32"/>
          <w:szCs w:val="32"/>
        </w:rPr>
        <w:t>≤</w:t>
      </w:r>
      <w:r>
        <w:rPr>
          <w:rFonts w:hint="eastAsia" w:ascii="仿宋" w:hAnsi="仿宋" w:eastAsia="仿宋" w:cs="_4eff_5b8b_GB2312"/>
          <w:bCs/>
          <w:color w:val="000000"/>
          <w:sz w:val="32"/>
          <w:szCs w:val="32"/>
        </w:rPr>
        <w:t>2.3t/a。（不含原《10吨/年美罗培南中间体、50吨/年美罗培南侧链、3吨/年厄他培南中间体、3吨/年比阿培南中间体项目》转让至本项目的总量控制指标）</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s="_4eff_5b8b_GB2312"/>
          <w:bCs/>
          <w:color w:val="000000"/>
          <w:sz w:val="32"/>
          <w:szCs w:val="32"/>
        </w:rPr>
      </w:pPr>
      <w:r>
        <w:rPr>
          <w:rFonts w:hint="eastAsia" w:ascii="仿宋" w:hAnsi="仿宋" w:eastAsia="仿宋" w:cs="_4eff_5b8b_GB2312"/>
          <w:bCs/>
          <w:color w:val="000000"/>
          <w:sz w:val="32"/>
          <w:szCs w:val="32"/>
        </w:rPr>
        <w:t>三、你公司应收到本批复后15个工作日内，将批复及批准的环评报告文件送岳阳市生态环境局云溪分局、</w:t>
      </w:r>
      <w:r>
        <w:rPr>
          <w:rFonts w:hint="eastAsia" w:ascii="仿宋" w:hAnsi="仿宋" w:eastAsia="仿宋"/>
          <w:sz w:val="32"/>
          <w:szCs w:val="32"/>
        </w:rPr>
        <w:t>湖南志远环境咨询服务有限公</w:t>
      </w:r>
      <w:r>
        <w:rPr>
          <w:rFonts w:ascii="仿宋" w:hAnsi="仿宋" w:eastAsia="仿宋"/>
          <w:color w:val="000000"/>
          <w:sz w:val="32"/>
          <w:szCs w:val="32"/>
        </w:rPr>
        <w:t>司</w:t>
      </w:r>
      <w:r>
        <w:rPr>
          <w:rFonts w:hint="eastAsia" w:ascii="仿宋" w:hAnsi="仿宋" w:eastAsia="仿宋" w:cs="_4eff_5b8b_GB2312"/>
          <w:bCs/>
          <w:color w:val="000000"/>
          <w:sz w:val="32"/>
          <w:szCs w:val="32"/>
        </w:rPr>
        <w:t>。</w:t>
      </w:r>
    </w:p>
    <w:p>
      <w:pPr>
        <w:keepNext w:val="0"/>
        <w:keepLines w:val="0"/>
        <w:pageBreakBefore w:val="0"/>
        <w:kinsoku/>
        <w:wordWrap/>
        <w:overflowPunct/>
        <w:topLinePunct w:val="0"/>
        <w:autoSpaceDE w:val="0"/>
        <w:autoSpaceDN/>
        <w:bidi w:val="0"/>
        <w:adjustRightInd/>
        <w:spacing w:line="514" w:lineRule="exact"/>
        <w:ind w:firstLine="640"/>
        <w:textAlignment w:val="auto"/>
        <w:rPr>
          <w:rFonts w:hint="eastAsia" w:ascii="仿宋" w:hAnsi="仿宋" w:eastAsia="仿宋" w:cs="_4eff_5b8b_GB2312"/>
          <w:bCs/>
          <w:color w:val="000000"/>
          <w:sz w:val="32"/>
          <w:szCs w:val="32"/>
        </w:rPr>
      </w:pPr>
      <w:r>
        <w:rPr>
          <w:rFonts w:hint="eastAsia" w:ascii="仿宋" w:hAnsi="仿宋" w:eastAsia="仿宋" w:cs="_4eff_5b8b_GB2312"/>
          <w:bCs/>
          <w:color w:val="000000"/>
          <w:sz w:val="32"/>
          <w:szCs w:val="32"/>
        </w:rPr>
        <w:t>四、请岳阳市生态环境局云溪分局负责项目建设和运营期的日常环境监管。</w:t>
      </w:r>
    </w:p>
    <w:p>
      <w:pPr>
        <w:spacing w:line="480" w:lineRule="exact"/>
        <w:ind w:firstLine="640"/>
        <w:rPr>
          <w:rFonts w:hint="eastAsia" w:ascii="仿宋" w:hAnsi="仿宋" w:eastAsia="仿宋" w:cs="_4eff_5b8b_GB2312"/>
          <w:bCs/>
          <w:color w:val="000000"/>
          <w:sz w:val="32"/>
          <w:szCs w:val="32"/>
        </w:rPr>
      </w:pPr>
      <w:r>
        <w:rPr>
          <w:rFonts w:hint="eastAsia" w:ascii="仿宋" w:hAnsi="仿宋" w:eastAsia="仿宋" w:cs="_4eff_5b8b_GB2312"/>
          <w:bCs/>
          <w:color w:val="000000"/>
          <w:sz w:val="32"/>
          <w:szCs w:val="32"/>
        </w:rPr>
        <w:t xml:space="preserve"> </w:t>
      </w:r>
    </w:p>
    <w:p>
      <w:pPr>
        <w:pStyle w:val="7"/>
        <w:ind w:firstLine="640"/>
        <w:rPr>
          <w:rFonts w:hint="eastAsia" w:ascii="仿宋" w:hAnsi="仿宋" w:eastAsia="仿宋"/>
          <w:sz w:val="32"/>
          <w:szCs w:val="32"/>
        </w:rPr>
      </w:pPr>
      <w:r>
        <w:rPr>
          <w:rFonts w:ascii="仿宋" w:hAnsi="仿宋" w:eastAsia="仿宋"/>
          <w:sz w:val="32"/>
          <w:szCs w:val="32"/>
        </w:rPr>
        <w:t xml:space="preserve"> </w:t>
      </w:r>
    </w:p>
    <w:p>
      <w:pPr>
        <w:pStyle w:val="7"/>
        <w:ind w:firstLine="640"/>
        <w:rPr>
          <w:rFonts w:ascii="仿宋" w:hAnsi="仿宋" w:eastAsia="仿宋"/>
          <w:sz w:val="32"/>
          <w:szCs w:val="32"/>
        </w:rPr>
      </w:pPr>
      <w:r>
        <w:rPr>
          <w:rFonts w:hint="eastAsia" w:ascii="仿宋" w:hAnsi="仿宋" w:eastAsia="仿宋"/>
          <w:sz w:val="32"/>
          <w:szCs w:val="32"/>
        </w:rPr>
        <w:t xml:space="preserve"> </w:t>
      </w:r>
    </w:p>
    <w:p>
      <w:pPr>
        <w:spacing w:line="480" w:lineRule="exact"/>
        <w:rPr>
          <w:rFonts w:hint="eastAsia" w:ascii="仿宋" w:hAnsi="仿宋" w:eastAsia="仿宋"/>
          <w:sz w:val="32"/>
          <w:szCs w:val="32"/>
        </w:rPr>
      </w:pPr>
      <w:r>
        <w:rPr>
          <w:rFonts w:ascii="仿宋" w:hAnsi="仿宋" w:eastAsia="仿宋"/>
          <w:sz w:val="32"/>
          <w:szCs w:val="32"/>
        </w:rPr>
        <w:t xml:space="preserve">                        岳阳市生态环境局</w:t>
      </w:r>
    </w:p>
    <w:p>
      <w:pPr>
        <w:spacing w:line="480" w:lineRule="exact"/>
        <w:ind w:firstLine="64" w:firstLineChars="20"/>
        <w:rPr>
          <w:rFonts w:ascii="仿宋" w:hAnsi="仿宋" w:eastAsia="仿宋"/>
          <w:sz w:val="32"/>
          <w:szCs w:val="32"/>
        </w:rPr>
      </w:pPr>
      <w:r>
        <w:rPr>
          <w:rFonts w:ascii="仿宋" w:hAnsi="仿宋" w:eastAsia="仿宋"/>
          <w:sz w:val="32"/>
          <w:szCs w:val="32"/>
        </w:rPr>
        <w:t xml:space="preserve">                            </w:t>
      </w:r>
      <w:r>
        <w:rPr>
          <w:rFonts w:ascii="仿宋" w:hAnsi="仿宋" w:eastAsia="仿宋"/>
          <w:spacing w:val="-11"/>
          <w:sz w:val="32"/>
          <w:szCs w:val="32"/>
        </w:rPr>
        <w:t>2022年2月</w:t>
      </w:r>
      <w:r>
        <w:rPr>
          <w:rFonts w:hint="eastAsia" w:ascii="仿宋" w:hAnsi="仿宋" w:eastAsia="仿宋"/>
          <w:spacing w:val="-11"/>
          <w:sz w:val="32"/>
          <w:szCs w:val="32"/>
        </w:rPr>
        <w:t>28</w:t>
      </w:r>
      <w:r>
        <w:rPr>
          <w:rFonts w:ascii="仿宋" w:hAnsi="仿宋" w:eastAsia="仿宋"/>
          <w:spacing w:val="-11"/>
          <w:sz w:val="32"/>
          <w:szCs w:val="32"/>
        </w:rPr>
        <w:t>日</w:t>
      </w:r>
    </w:p>
    <w:p>
      <w:pPr>
        <w:rPr>
          <w:color w:val="000000"/>
          <w:szCs w:val="22"/>
        </w:rPr>
      </w:pPr>
    </w:p>
    <w:p>
      <w:pPr>
        <w:spacing w:line="480" w:lineRule="exact"/>
        <w:ind w:firstLine="40" w:firstLineChars="20"/>
        <w:jc w:val="both"/>
        <w:rPr>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2</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079DF"/>
    <w:rsid w:val="00925FA4"/>
    <w:rsid w:val="0093216E"/>
    <w:rsid w:val="00C76252"/>
    <w:rsid w:val="017A36FD"/>
    <w:rsid w:val="024330B6"/>
    <w:rsid w:val="030126EB"/>
    <w:rsid w:val="039B5B6E"/>
    <w:rsid w:val="05C42D45"/>
    <w:rsid w:val="05D7488F"/>
    <w:rsid w:val="062A1B37"/>
    <w:rsid w:val="06D41775"/>
    <w:rsid w:val="08262763"/>
    <w:rsid w:val="086150D6"/>
    <w:rsid w:val="08D31953"/>
    <w:rsid w:val="0BA965B8"/>
    <w:rsid w:val="0BC07F69"/>
    <w:rsid w:val="0D3B5CAB"/>
    <w:rsid w:val="0F1A64E0"/>
    <w:rsid w:val="0F82454C"/>
    <w:rsid w:val="116C667E"/>
    <w:rsid w:val="122E5629"/>
    <w:rsid w:val="123322BF"/>
    <w:rsid w:val="145A0633"/>
    <w:rsid w:val="14A02886"/>
    <w:rsid w:val="14B76732"/>
    <w:rsid w:val="14C65740"/>
    <w:rsid w:val="16855DC9"/>
    <w:rsid w:val="193D5DCA"/>
    <w:rsid w:val="1C765C6B"/>
    <w:rsid w:val="1DE74BBA"/>
    <w:rsid w:val="1E930AF4"/>
    <w:rsid w:val="1F4C3143"/>
    <w:rsid w:val="1F6F01CA"/>
    <w:rsid w:val="1FB95DF2"/>
    <w:rsid w:val="1FED6F09"/>
    <w:rsid w:val="21617BDF"/>
    <w:rsid w:val="218569EA"/>
    <w:rsid w:val="22D24584"/>
    <w:rsid w:val="23077A58"/>
    <w:rsid w:val="2366189C"/>
    <w:rsid w:val="23910F38"/>
    <w:rsid w:val="253972F4"/>
    <w:rsid w:val="25700B4B"/>
    <w:rsid w:val="2620416C"/>
    <w:rsid w:val="265131EC"/>
    <w:rsid w:val="2675089C"/>
    <w:rsid w:val="269742E9"/>
    <w:rsid w:val="27F01264"/>
    <w:rsid w:val="28141F89"/>
    <w:rsid w:val="28854EED"/>
    <w:rsid w:val="293A7102"/>
    <w:rsid w:val="29F43F54"/>
    <w:rsid w:val="2A354571"/>
    <w:rsid w:val="2DA500D2"/>
    <w:rsid w:val="2E03543C"/>
    <w:rsid w:val="2F37233F"/>
    <w:rsid w:val="2FBE4369"/>
    <w:rsid w:val="31D1627B"/>
    <w:rsid w:val="31D77B24"/>
    <w:rsid w:val="327562FB"/>
    <w:rsid w:val="338139A3"/>
    <w:rsid w:val="36A06A1C"/>
    <w:rsid w:val="36F1784F"/>
    <w:rsid w:val="371755C1"/>
    <w:rsid w:val="374B6685"/>
    <w:rsid w:val="37580DE2"/>
    <w:rsid w:val="37DB2961"/>
    <w:rsid w:val="390E4C54"/>
    <w:rsid w:val="39387D98"/>
    <w:rsid w:val="393F4770"/>
    <w:rsid w:val="3E78202C"/>
    <w:rsid w:val="40B124CA"/>
    <w:rsid w:val="40E619D0"/>
    <w:rsid w:val="425B3DD9"/>
    <w:rsid w:val="42D57B3D"/>
    <w:rsid w:val="43646117"/>
    <w:rsid w:val="44637C14"/>
    <w:rsid w:val="45F53868"/>
    <w:rsid w:val="461B020C"/>
    <w:rsid w:val="47335C34"/>
    <w:rsid w:val="4830538A"/>
    <w:rsid w:val="48D60EF7"/>
    <w:rsid w:val="490966A2"/>
    <w:rsid w:val="4BD60B78"/>
    <w:rsid w:val="4BF41811"/>
    <w:rsid w:val="4C720429"/>
    <w:rsid w:val="4EB50A05"/>
    <w:rsid w:val="50B52913"/>
    <w:rsid w:val="51022EB8"/>
    <w:rsid w:val="53B5186B"/>
    <w:rsid w:val="55D8771A"/>
    <w:rsid w:val="561D1830"/>
    <w:rsid w:val="57AB1477"/>
    <w:rsid w:val="57E82929"/>
    <w:rsid w:val="5811586C"/>
    <w:rsid w:val="585E2283"/>
    <w:rsid w:val="599134C3"/>
    <w:rsid w:val="59C416EA"/>
    <w:rsid w:val="5B936B23"/>
    <w:rsid w:val="5BB1236D"/>
    <w:rsid w:val="5C782274"/>
    <w:rsid w:val="5CE6055C"/>
    <w:rsid w:val="5E3B0524"/>
    <w:rsid w:val="5F8110FD"/>
    <w:rsid w:val="61715875"/>
    <w:rsid w:val="61974B52"/>
    <w:rsid w:val="61D02FB3"/>
    <w:rsid w:val="625C31C0"/>
    <w:rsid w:val="62E11424"/>
    <w:rsid w:val="63A34002"/>
    <w:rsid w:val="64393226"/>
    <w:rsid w:val="657C1287"/>
    <w:rsid w:val="65F30067"/>
    <w:rsid w:val="66DD0822"/>
    <w:rsid w:val="67675ABC"/>
    <w:rsid w:val="67FB3202"/>
    <w:rsid w:val="681100F9"/>
    <w:rsid w:val="68780870"/>
    <w:rsid w:val="694B3D6D"/>
    <w:rsid w:val="6B8C0D41"/>
    <w:rsid w:val="6C5D15CE"/>
    <w:rsid w:val="6D7F639C"/>
    <w:rsid w:val="6E3B1502"/>
    <w:rsid w:val="6E783365"/>
    <w:rsid w:val="6FB46AB9"/>
    <w:rsid w:val="6FF07C9F"/>
    <w:rsid w:val="70E2609B"/>
    <w:rsid w:val="714061B8"/>
    <w:rsid w:val="721F3D0A"/>
    <w:rsid w:val="730065A6"/>
    <w:rsid w:val="73A12654"/>
    <w:rsid w:val="74463A57"/>
    <w:rsid w:val="74D016B7"/>
    <w:rsid w:val="77627606"/>
    <w:rsid w:val="777B69C0"/>
    <w:rsid w:val="77CC5F6D"/>
    <w:rsid w:val="7808174F"/>
    <w:rsid w:val="788D05ED"/>
    <w:rsid w:val="78E71CAD"/>
    <w:rsid w:val="7B844F72"/>
    <w:rsid w:val="7BD6533A"/>
    <w:rsid w:val="7C094CF5"/>
    <w:rsid w:val="7C0A1AFB"/>
    <w:rsid w:val="7CFF67CF"/>
    <w:rsid w:val="7DC21241"/>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6">
    <w:name w:val="Body Text Indent"/>
    <w:basedOn w:val="1"/>
    <w:next w:val="7"/>
    <w:link w:val="17"/>
    <w:qFormat/>
    <w:uiPriority w:val="0"/>
    <w:pPr>
      <w:spacing w:after="120"/>
      <w:ind w:left="283"/>
    </w:pPr>
    <w:rPr>
      <w:rFonts w:ascii="Times New Roman" w:hAnsi="Times New Roman" w:eastAsia="宋体" w:cs="Times New Roman"/>
    </w:rPr>
  </w:style>
  <w:style w:type="paragraph" w:styleId="7">
    <w:name w:val="Body Text First Indent 2"/>
    <w:basedOn w:val="6"/>
    <w:next w:val="1"/>
    <w:link w:val="18"/>
    <w:qFormat/>
    <w:uiPriority w:val="0"/>
    <w:pPr>
      <w:spacing w:after="200"/>
      <w:ind w:left="360" w:firstLine="36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character" w:styleId="13">
    <w:name w:val="Hyperlink"/>
    <w:basedOn w:val="12"/>
    <w:unhideWhenUsed/>
    <w:qFormat/>
    <w:uiPriority w:val="99"/>
    <w:rPr>
      <w:color w:val="0000FF"/>
      <w:u w:val="single"/>
    </w:rPr>
  </w:style>
  <w:style w:type="paragraph" w:customStyle="1" w:styleId="14">
    <w:name w:val="WPS Plain"/>
    <w:qFormat/>
    <w:uiPriority w:val="0"/>
    <w:rPr>
      <w:rFonts w:ascii="Times New Roman" w:hAnsi="Times New Roman" w:eastAsia="宋体" w:cs="Times New Roman"/>
      <w:lang w:val="en-US" w:eastAsia="zh-CN" w:bidi="ar-SA"/>
    </w:rPr>
  </w:style>
  <w:style w:type="paragraph" w:customStyle="1" w:styleId="15">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16">
    <w:name w:val="标题二"/>
    <w:basedOn w:val="1"/>
    <w:qFormat/>
    <w:uiPriority w:val="99"/>
  </w:style>
  <w:style w:type="character" w:customStyle="1" w:styleId="17">
    <w:name w:val="正文文本缩进 Char"/>
    <w:basedOn w:val="12"/>
    <w:link w:val="6"/>
    <w:qFormat/>
    <w:uiPriority w:val="0"/>
    <w:rPr>
      <w:rFonts w:hint="default" w:ascii="Times New Roman" w:hAnsi="Times New Roman" w:cs="Times New Roman"/>
    </w:rPr>
  </w:style>
  <w:style w:type="character" w:customStyle="1" w:styleId="18">
    <w:name w:val="正文首行缩进 2 Char"/>
    <w:basedOn w:val="17"/>
    <w:link w:val="7"/>
    <w:qFormat/>
    <w:uiPriority w:val="0"/>
    <w:rPr>
      <w:rFonts w:hint="default" w:ascii="Times New Roman" w:hAnsi="Times New Roman" w:cs="Times New Roman"/>
    </w:rPr>
  </w:style>
  <w:style w:type="character" w:customStyle="1" w:styleId="19">
    <w:name w:val="表格文字 Char"/>
    <w:basedOn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2022-03-01T02:51:00Z</cp:lastPrinted>
  <dcterms:modified xsi:type="dcterms:W3CDTF">2022-03-02T07:24:46Z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FBE00E1DA0D945C9BBFC616F0EF726AB</vt:lpwstr>
  </property>
</Properties>
</file>