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岳阳市自然资源和规划局上图入库项目</w:t>
      </w:r>
    </w:p>
    <w:p>
      <w:pPr>
        <w:spacing w:line="1200" w:lineRule="exact"/>
        <w:jc w:val="center"/>
        <w:rPr>
          <w:rFonts w:ascii="楷体_GB2312" w:hAnsi="宋体" w:eastAsia="楷体_GB2312"/>
          <w:b/>
          <w:bCs/>
          <w:spacing w:val="152"/>
          <w:sz w:val="84"/>
          <w:szCs w:val="84"/>
        </w:rPr>
      </w:pPr>
      <w:r>
        <w:rPr>
          <w:rFonts w:hint="eastAsia" w:ascii="楷体_GB2312" w:hAnsi="宋体" w:eastAsia="楷体_GB2312"/>
          <w:b/>
          <w:bCs/>
          <w:spacing w:val="152"/>
          <w:sz w:val="72"/>
          <w:szCs w:val="72"/>
        </w:rPr>
        <w:t>绩效自评报告书</w:t>
      </w:r>
    </w:p>
    <w:p>
      <w:pPr>
        <w:spacing w:line="760" w:lineRule="exact"/>
        <w:jc w:val="center"/>
        <w:rPr>
          <w:rFonts w:ascii="楷体_GB2312" w:hAnsi="宋体" w:eastAsia="楷体_GB2312"/>
          <w:b/>
          <w:bCs/>
        </w:rPr>
      </w:pPr>
    </w:p>
    <w:p>
      <w:pPr>
        <w:spacing w:line="760" w:lineRule="exact"/>
        <w:jc w:val="center"/>
        <w:rPr>
          <w:rFonts w:ascii="楷体_GB2312" w:hAnsi="宋体" w:eastAsia="楷体_GB2312"/>
          <w:b/>
          <w:bCs/>
        </w:rPr>
      </w:pPr>
    </w:p>
    <w:p>
      <w:pPr>
        <w:spacing w:line="760" w:lineRule="exact"/>
        <w:jc w:val="center"/>
        <w:rPr>
          <w:rFonts w:ascii="楷体_GB2312" w:hAnsi="宋体" w:eastAsia="楷体_GB2312"/>
          <w:b/>
          <w:bCs/>
        </w:rPr>
      </w:pPr>
    </w:p>
    <w:p>
      <w:pPr>
        <w:spacing w:line="760" w:lineRule="exact"/>
        <w:jc w:val="center"/>
        <w:rPr>
          <w:rFonts w:ascii="楷体_GB2312" w:hAnsi="宋体" w:eastAsia="楷体_GB2312"/>
          <w:b/>
          <w:bCs/>
        </w:rPr>
      </w:pPr>
    </w:p>
    <w:p>
      <w:pPr>
        <w:spacing w:line="760" w:lineRule="exact"/>
        <w:rPr>
          <w:rFonts w:ascii="楷体_GB2312" w:hAnsi="宋体" w:eastAsia="楷体_GB2312"/>
          <w:b/>
          <w:bCs/>
        </w:rPr>
      </w:pPr>
    </w:p>
    <w:p>
      <w:pPr>
        <w:spacing w:line="760" w:lineRule="exact"/>
        <w:rPr>
          <w:rFonts w:ascii="楷体_GB2312" w:hAnsi="宋体" w:eastAsia="楷体_GB2312"/>
          <w:b/>
          <w:bCs/>
        </w:rPr>
      </w:pPr>
    </w:p>
    <w:p>
      <w:pPr>
        <w:spacing w:line="760" w:lineRule="exact"/>
        <w:rPr>
          <w:rFonts w:ascii="楷体_GB2312" w:hAnsi="宋体" w:eastAsia="楷体_GB2312"/>
          <w:b/>
          <w:bCs/>
        </w:rPr>
      </w:pPr>
    </w:p>
    <w:p>
      <w:pPr>
        <w:spacing w:line="760" w:lineRule="exact"/>
        <w:rPr>
          <w:rFonts w:ascii="楷体_GB2312" w:hAnsi="宋体" w:eastAsia="楷体_GB2312"/>
          <w:b/>
          <w:bCs/>
        </w:rPr>
      </w:pPr>
    </w:p>
    <w:p>
      <w:pPr>
        <w:spacing w:line="760" w:lineRule="exact"/>
        <w:rPr>
          <w:rFonts w:ascii="楷体_GB2312" w:hAnsi="宋体" w:eastAsia="楷体_GB2312"/>
          <w:b/>
          <w:bCs/>
        </w:rPr>
      </w:pPr>
    </w:p>
    <w:p>
      <w:pPr>
        <w:spacing w:line="760" w:lineRule="exact"/>
        <w:rPr>
          <w:rFonts w:ascii="楷体_GB2312" w:hAnsi="宋体" w:eastAsia="楷体_GB2312"/>
          <w:b/>
          <w:bCs/>
        </w:rPr>
      </w:pPr>
    </w:p>
    <w:p>
      <w:pPr>
        <w:spacing w:line="400" w:lineRule="exact"/>
        <w:ind w:firstLine="1805" w:firstLineChars="500"/>
        <w:outlineLvl w:val="0"/>
        <w:rPr>
          <w:rFonts w:ascii="楷体_GB2312" w:hAnsi="宋体" w:eastAsia="楷体_GB2312"/>
          <w:b/>
          <w:bCs/>
          <w:spacing w:val="40"/>
          <w:sz w:val="28"/>
          <w:szCs w:val="28"/>
        </w:rPr>
      </w:pPr>
    </w:p>
    <w:p>
      <w:pPr>
        <w:spacing w:line="400" w:lineRule="exact"/>
        <w:ind w:firstLine="1805" w:firstLineChars="500"/>
        <w:outlineLvl w:val="0"/>
        <w:rPr>
          <w:rFonts w:ascii="楷体_GB2312" w:hAnsi="宋体" w:eastAsia="楷体_GB2312"/>
          <w:b/>
          <w:bCs/>
          <w:spacing w:val="40"/>
          <w:sz w:val="28"/>
          <w:szCs w:val="28"/>
        </w:rPr>
      </w:pPr>
    </w:p>
    <w:p>
      <w:pPr>
        <w:spacing w:line="400" w:lineRule="exact"/>
        <w:outlineLvl w:val="0"/>
        <w:rPr>
          <w:rFonts w:ascii="楷体_GB2312" w:hAnsi="宋体" w:eastAsia="楷体_GB2312"/>
          <w:b/>
          <w:bCs/>
          <w:spacing w:val="40"/>
          <w:sz w:val="30"/>
          <w:szCs w:val="30"/>
        </w:rPr>
      </w:pPr>
    </w:p>
    <w:p>
      <w:pPr>
        <w:spacing w:line="400" w:lineRule="exact"/>
        <w:jc w:val="center"/>
        <w:outlineLvl w:val="0"/>
        <w:rPr>
          <w:rFonts w:ascii="楷体_GB2312" w:hAnsi="宋体" w:eastAsia="楷体_GB2312"/>
          <w:b/>
          <w:bCs/>
          <w:spacing w:val="40"/>
          <w:sz w:val="30"/>
          <w:szCs w:val="30"/>
        </w:rPr>
      </w:pPr>
    </w:p>
    <w:p>
      <w:pPr>
        <w:spacing w:line="400" w:lineRule="exact"/>
        <w:jc w:val="center"/>
        <w:outlineLvl w:val="0"/>
        <w:rPr>
          <w:rFonts w:ascii="楷体_GB2312" w:hAnsi="宋体" w:eastAsia="楷体_GB2312"/>
          <w:b/>
          <w:bCs/>
          <w:spacing w:val="40"/>
          <w:sz w:val="30"/>
          <w:szCs w:val="30"/>
        </w:rPr>
      </w:pPr>
    </w:p>
    <w:p>
      <w:pPr>
        <w:spacing w:line="760" w:lineRule="exact"/>
        <w:jc w:val="center"/>
        <w:rPr>
          <w:rFonts w:ascii="楷体_GB2312" w:hAnsi="宋体" w:eastAsia="楷体_GB2312"/>
          <w:b/>
          <w:bCs/>
          <w:sz w:val="30"/>
          <w:szCs w:val="30"/>
        </w:rPr>
      </w:pPr>
      <w:r>
        <w:rPr>
          <w:rFonts w:hint="eastAsia" w:ascii="楷体_GB2312" w:hAnsi="宋体" w:eastAsia="楷体_GB2312"/>
          <w:b/>
          <w:bCs/>
          <w:sz w:val="30"/>
          <w:szCs w:val="30"/>
        </w:rPr>
        <w:t>二〇二三年七月</w:t>
      </w:r>
    </w:p>
    <w:p>
      <w:pPr>
        <w:spacing w:line="12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岳阳市自然资源和规划局上图入库</w:t>
      </w: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项目支出绩效评价自评报告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</w:pPr>
    </w:p>
    <w:p>
      <w:pPr>
        <w:spacing w:beforeLines="50" w:line="348" w:lineRule="auto"/>
        <w:ind w:firstLine="1120" w:firstLineChars="3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部门(单位)名称：自然资源和规划局</w:t>
      </w:r>
    </w:p>
    <w:p>
      <w:pPr>
        <w:spacing w:beforeLines="50" w:line="348" w:lineRule="auto"/>
        <w:ind w:firstLine="1120" w:firstLineChars="350"/>
        <w:rPr>
          <w:rFonts w:eastAsia="仿宋_GB2312"/>
          <w:spacing w:val="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预算编码：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                  </w:t>
      </w:r>
    </w:p>
    <w:p>
      <w:pPr>
        <w:spacing w:beforeLines="50" w:line="348" w:lineRule="auto"/>
        <w:ind w:firstLine="1120" w:firstLineChars="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评价方式：自然资源和规划局绩效自评</w:t>
      </w:r>
    </w:p>
    <w:p>
      <w:pPr>
        <w:spacing w:line="348" w:lineRule="auto"/>
        <w:ind w:firstLine="2208" w:firstLineChars="690"/>
        <w:rPr>
          <w:rFonts w:eastAsia="仿宋_GB2312"/>
          <w:sz w:val="32"/>
        </w:rPr>
      </w:pPr>
    </w:p>
    <w:p>
      <w:pPr>
        <w:spacing w:line="348" w:lineRule="auto"/>
        <w:ind w:firstLine="2208" w:firstLineChars="690"/>
        <w:rPr>
          <w:rFonts w:eastAsia="仿宋_GB2312"/>
          <w:sz w:val="32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</w:p>
    <w:p>
      <w:pPr>
        <w:pStyle w:val="2"/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报告日期：2023年7月12日</w:t>
      </w:r>
    </w:p>
    <w:p>
      <w:pPr>
        <w:pStyle w:val="3"/>
      </w:pPr>
    </w:p>
    <w:p>
      <w:pPr>
        <w:spacing w:beforeLines="100" w:afterLines="100" w:line="360" w:lineRule="auto"/>
        <w:jc w:val="center"/>
        <w:rPr>
          <w:rFonts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</w:rPr>
        <w:t>2022年度自然资源和规划局上图入库项目项目支出绩效评价自评报告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根据绩效管理要求，自然资源和规划局成立了绩效自评小组，组织对2022年度自然资源和规划局局机关（以下简称：局机关）上图入库项目项目支出情况进行了绩效自评。现将自评情况报告如下。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一、基本情况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（一）基本情况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岳阳市自然资源和规划局（以下简称“市自然资源和规划局”）于2019年3月4日挂牌成立，属全额预算拨款的正处级行政单位。局下设办公室、自然资源调查监测科、国土空间生态修复科等21个职能科室，纳入财政预算的二级机构为3个，分别为：岳阳市自然资源和规划局行政执法支队、岳阳市自然资源和规划局不动产登记中心、岳阳市自然资源和规划局事务中心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根据“三定方案”，市自然资源和规划局局机关（以下简称“局机关”）人员编制数65人（局机关行政编制61人、事业编制4人）,2022年实有在岗人员88人(含从二级机构借调人员)。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岳阳市自然资源和规划局及二级机构等全部分开独立核算。按市财政局工作规定,由主管单位对其实施绩效考评,所以本次重点对局机关部门整体支出预算绩效进行自评。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主要职能职责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1、依法履行全民所有土地、矿产、森林、草原、湿地、水等自然资源资产所有者职责和国土空间用途管制职责。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2、负责自然资源调查监测评价。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3、负责自然资源统一确权登记工作。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4、负责自然资源资产有偿使用工作。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5、负责自然资源的合理开发利用。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6、负责建立国土空间规划体系并监督实施。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7、负责制定国土空间规划编制计划和近期建设规划，制定土地利用及储备供应、矿产资源保护利用、基础测绘、新增建设用地等年度计划，并组织实施；参与城市发展年度建设计划及实施工作。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8、负责统筹国土空间生态修复。牵头组织编制国土空间生态修复规划并实施有关生态修复重大工程。牵头建立和实施生态保护补偿制度，并提出市级重大备选项目。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9、负责组织实施最严格的耕地保护制度。牵头实施耕地保护政策，负责耕地数量和生态保护，做好耕地质量保护有关工作。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10、负责管理地质勘查行业和全市地质工作。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11、负责地质灾害预防和治理。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12、负责矿产资源管理工作。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13、推动自然资源领域科技发展。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14、负责测绘地理信息管理工作。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15、根据授权，对市以下各级政府及相关部门落实市委、市政府关于自然资源、国土空间规划重大政策、决策部署及法规规章执行情况进行督察。依法查处自然资源开发利用、国土空间规划及测绘领域违法案件。负责涉及自然资源和规划管理事项的信访处理、行政复议、行政诉讼等工作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16、完成市委、市政府交办的其他事项。</w:t>
      </w:r>
    </w:p>
    <w:p>
      <w:pPr>
        <w:pStyle w:val="3"/>
        <w:spacing w:line="360" w:lineRule="auto"/>
        <w:ind w:left="0" w:leftChars="0"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二、项目年度绩效目标及完成情况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（一）项目年度绩效目标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通过项目实施，达到省厅下达指标任务的100%。调度部门技术力量，分多个小组同时展开外业调查，高质高效完成16.8公顷上图入库的数量指标，项目计划期内完成市本级所有设施农用地调查及上图入库。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（二）绩效目标完成情况</w:t>
      </w:r>
    </w:p>
    <w:p>
      <w:pPr>
        <w:pStyle w:val="2"/>
        <w:spacing w:line="360" w:lineRule="auto"/>
        <w:ind w:firstLine="420" w:firstLineChars="150"/>
        <w:rPr>
          <w:rFonts w:hint="eastAsia"/>
          <w:b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收集了第三次国土调查成果、2018年土地变更调查成果、永久基本农田数据库、永久基本农田储备区数据库、耕地质量分等定级成果、设施农业用地历史备案资料、最新数字正射影像图等相关资料，开展的一次外业摸底调查工作，目的是把设施农业项目信息、数量、范围全面核准，一方面实地核实项目数量和概况，对已掌握设施农业用地项目开展查漏补缺；另一方面实地核实项目坐标范围，对已有范围线与实地不符的进行补充测绘。   </w:t>
      </w:r>
      <w:r>
        <w:rPr>
          <w:rFonts w:hint="eastAsia"/>
          <w:b/>
        </w:rPr>
        <w:t xml:space="preserve">  </w:t>
      </w:r>
    </w:p>
    <w:p>
      <w:pPr>
        <w:pStyle w:val="2"/>
        <w:spacing w:line="360" w:lineRule="auto"/>
        <w:ind w:firstLine="422" w:firstLineChars="150"/>
        <w:rPr>
          <w:b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（三）绩效指标完成情况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1、产出数量 （定量、定性指标）</w:t>
      </w:r>
    </w:p>
    <w:p>
      <w:pPr>
        <w:autoSpaceDN w:val="0"/>
        <w:spacing w:line="360" w:lineRule="auto"/>
        <w:ind w:firstLine="280" w:firstLineChars="100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根据《关于切实做好设施农业用地统一上图入库工作的通知》(湘自然资办〔2020〕158号),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高质高效完成16.8公顷上图入库的数量指标</w:t>
      </w:r>
    </w:p>
    <w:p>
      <w:pPr>
        <w:autoSpaceDN w:val="0"/>
        <w:spacing w:line="360" w:lineRule="auto"/>
        <w:ind w:firstLine="557" w:firstLineChars="198"/>
        <w:jc w:val="left"/>
        <w:textAlignment w:val="center"/>
        <w:rPr>
          <w:rFonts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2、质量目标</w:t>
      </w:r>
    </w:p>
    <w:p>
      <w:pPr>
        <w:spacing w:line="360" w:lineRule="auto"/>
        <w:ind w:firstLine="420" w:firstLineChars="15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岳阳市市本级设施农业用地统一上图入库项目,在岳阳市自然资源和规划局用途管制科居中调度，岳阳市测绘院有限公司领导积极推进下，成功按时按质完成项目内容，真正做到了责任明确，积极履职。</w:t>
      </w:r>
    </w:p>
    <w:p>
      <w:pPr>
        <w:pStyle w:val="2"/>
        <w:spacing w:line="360" w:lineRule="auto"/>
        <w:ind w:firstLine="557" w:firstLineChars="198"/>
        <w:rPr>
          <w:rFonts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3、时效目标</w:t>
      </w:r>
    </w:p>
    <w:p>
      <w:pPr>
        <w:spacing w:line="360" w:lineRule="auto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  岳阳市市本级设施农业用地统一上图入库项目,原定于2022年底完成市本级全部项目上图入库，实际完成时间为2022年9月，完成率达100%。</w: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 xml:space="preserve">    4、成本控制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该项目成本预算186万元，项目经费实际支出70.36万元，其中541334.00元用于设施农用地测绘工作，162286.00元用于项目上图入库工作，项目的实际总支出控制在预算之内，成本控制情况良好。</w:t>
      </w:r>
    </w:p>
    <w:p>
      <w:pPr>
        <w:autoSpaceDN w:val="0"/>
        <w:spacing w:line="360" w:lineRule="auto"/>
        <w:ind w:firstLine="700" w:firstLineChars="249"/>
        <w:jc w:val="left"/>
        <w:textAlignment w:val="center"/>
        <w:rPr>
          <w:rFonts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5、效益、社会公众及服好务对象满意度</w:t>
      </w:r>
    </w:p>
    <w:p>
      <w:pPr>
        <w:autoSpaceDN w:val="0"/>
        <w:spacing w:line="360" w:lineRule="auto"/>
        <w:ind w:firstLine="562" w:firstLineChars="200"/>
        <w:jc w:val="left"/>
        <w:textAlignment w:val="center"/>
        <w:rPr>
          <w:rFonts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（1）社会效益：</w:t>
      </w:r>
    </w:p>
    <w:p>
      <w:pPr>
        <w:spacing w:line="360" w:lineRule="auto"/>
        <w:ind w:firstLine="420" w:firstLineChars="15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项目实施保障了市本级设施农业用地所有人用地需求，严格了土地用途管制，切实保护了耕地，该项目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获得了较好的社会效益。</w:t>
      </w:r>
    </w:p>
    <w:p>
      <w:pPr>
        <w:autoSpaceDN w:val="0"/>
        <w:spacing w:line="360" w:lineRule="auto"/>
        <w:ind w:firstLine="562" w:firstLineChars="200"/>
        <w:jc w:val="left"/>
        <w:textAlignment w:val="center"/>
        <w:rPr>
          <w:rFonts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（2）经济效益</w:t>
      </w:r>
    </w:p>
    <w:p>
      <w:pPr>
        <w:autoSpaceDN w:val="0"/>
        <w:spacing w:line="360" w:lineRule="auto"/>
        <w:ind w:firstLine="840" w:firstLineChars="300"/>
        <w:jc w:val="left"/>
        <w:textAlignment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该项目属于国家公益性项目，无经济效益考核指标的要求。</w:t>
      </w:r>
    </w:p>
    <w:p>
      <w:pPr>
        <w:autoSpaceDN w:val="0"/>
        <w:spacing w:line="360" w:lineRule="auto"/>
        <w:ind w:firstLine="551" w:firstLineChars="196"/>
        <w:jc w:val="left"/>
        <w:textAlignment w:val="center"/>
        <w:rPr>
          <w:rFonts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（3）生态效益</w:t>
      </w:r>
    </w:p>
    <w:p>
      <w:pPr>
        <w:autoSpaceDN w:val="0"/>
        <w:spacing w:line="360" w:lineRule="auto"/>
        <w:ind w:firstLine="840" w:firstLineChars="300"/>
        <w:jc w:val="left"/>
        <w:textAlignment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通过该项目的实施，限制了设施农业用地建设规模，防止了土地的浪费。</w:t>
      </w:r>
    </w:p>
    <w:p>
      <w:pPr>
        <w:autoSpaceDN w:val="0"/>
        <w:spacing w:line="360" w:lineRule="auto"/>
        <w:ind w:firstLine="551" w:firstLineChars="196"/>
        <w:jc w:val="left"/>
        <w:textAlignment w:val="center"/>
        <w:rPr>
          <w:rFonts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（4）可持续性影响</w:t>
      </w:r>
    </w:p>
    <w:p>
      <w:pPr>
        <w:autoSpaceDN w:val="0"/>
        <w:spacing w:line="360" w:lineRule="auto"/>
        <w:ind w:firstLine="840" w:firstLineChars="300"/>
        <w:jc w:val="left"/>
        <w:textAlignment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该项目为设施农用地提供了保障，可持续性较好。</w:t>
      </w:r>
    </w:p>
    <w:p>
      <w:pPr>
        <w:autoSpaceDN w:val="0"/>
        <w:spacing w:line="360" w:lineRule="auto"/>
        <w:ind w:firstLine="551" w:firstLineChars="196"/>
        <w:jc w:val="left"/>
        <w:textAlignment w:val="center"/>
        <w:rPr>
          <w:rFonts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（5）社会公众及服务对象满意度</w:t>
      </w:r>
    </w:p>
    <w:p>
      <w:pPr>
        <w:autoSpaceDN w:val="0"/>
        <w:spacing w:line="360" w:lineRule="auto"/>
        <w:ind w:firstLine="560" w:firstLineChars="200"/>
        <w:jc w:val="left"/>
        <w:textAlignment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服务对象满意度年度指标值≥95%，实际完成指标值90%,，服务对象满意度有待提升。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三、上图入库项目项目支出情况 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该项目经费预算186万元，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项目经费实际支出70.36万元，其中541334.00元用于设施农用地测绘工作，162286.00元用于项目上图入库工作，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上述项目经费在2022年底之前支付完毕。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四、部门上图入库项目项目支出绩效评价工作实施情况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（一）绩效评价工作的目的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通过绩效评价，全面了解工作目标是否合理；工作计划与实际完成情况之间的差异；管理制度健全性；资金使用合规性；资产管理利用率；社会效益、经济效益、服务对象满意率等，充分发挥财政资金的使用效益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（二）绩效自评的主要依据：</w:t>
      </w:r>
    </w:p>
    <w:p>
      <w:pPr>
        <w:spacing w:line="360" w:lineRule="auto"/>
        <w:ind w:firstLine="56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1、绩效评价相关依据：《中华人民共和国预算法》、湖南省财政厅关于印发《湖南省省级预算部门绩效自评操作规程》、岳阳市财政局《关于全面开展2022年市级预算支出绩效自评工作的通知》。</w:t>
      </w:r>
    </w:p>
    <w:p>
      <w:pPr>
        <w:spacing w:line="360" w:lineRule="auto"/>
        <w:ind w:firstLine="56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2、相关行业政策、行业标准及专业技术规范；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（三）项目支出评价原则、指标评价体系、评价方法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1、项目支出评价原则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遵循客观公正，操作简便高效，尊重客观实际，实事求是的原则。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项目支出指标评价体系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本次项目支出的指标体系采用岳阳市财政局《关于全面开展2022年市级预算支出绩效自评工作的通知》规定的指标体系模板。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3、评分等级标准。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评价等次分为优秀（S≧90）、良好（90&gt;S≧80）、合格（80&gt;S≧70）不合格S&lt;70）4个评价等次。</w:t>
      </w:r>
    </w:p>
    <w:p>
      <w:pPr>
        <w:spacing w:line="360" w:lineRule="auto"/>
        <w:ind w:left="420" w:left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4、本次绩效评价方法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主要采取目标评价法、询问查证法及定性和定量相结合的方法进行评分；通过听取项目情况介绍，评价人员座谈交流等方式进行定性评分；制定评价指标，通过评价指标对项目进行定量评分。  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（三）绩效评价工作过程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1、前期准备： 按照市财政对绩效评价的要求我单位成立了绩效评价小组，并进行职责分工，下发评价通知，制定的绩效评价工作方案，设计了绩效评价指标体系和问卷调查表。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2、组织实施：评价小组核查年度目标定性、定量目标任务完成情况，并按照绩效评价自评表分值进行自评分。</w:t>
      </w:r>
    </w:p>
    <w:p>
      <w:pPr>
        <w:pStyle w:val="2"/>
        <w:spacing w:line="360" w:lineRule="auto"/>
        <w:ind w:firstLine="56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3、撰写自评报告。评价小组根据绩效评价收集资料及数据，进行分析、核算、讨论、汇总，形成自评报告初稿，经相关领导审核后形成《自然资源和规划局机关202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年上图入库项目项目支出绩效自评报告》。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  <w:highlight w:val="yello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五、绩效评价结论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年市自然资源和规划局认真履行本部门职责职能，紧紧围绕部门全年工作重点，制订了详细、具体项目目标，较好地完成上图入库项目，该项目具有良好社会效益、生态环境效益，各项工作得到了省厅肯定，取得丰硕成果，项目实施保障了市本级设施农业用地所有人用地需求，严格了土地用途管制，切实保护了耕地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根据评价指标综合自评，得分为96分，评价等级确认为“优秀”。其中：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1、资金投入总分10分，得分10分，  扣0分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2、产出管理总分50分，得分50分，  扣0分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3、绩效管理总分30分，得分28分，  扣2分</w:t>
      </w:r>
    </w:p>
    <w:p>
      <w:pPr>
        <w:pStyle w:val="2"/>
        <w:spacing w:line="360" w:lineRule="auto"/>
      </w:pPr>
      <w:r>
        <w:rPr>
          <w:rFonts w:hint="eastAsia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4、满意度测评总分10分，得分8分，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扣2分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具体见《自然资源和规划局（机关）上图入库项目项目支出绩效评价自评表》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六、存在的主要问题及建议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绩效目标申报工作有待加强。2022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上图入库项目项目支出未按要求进行绩效目标申报，应提升绩效管理理念，年初进行绩效目标申报时，注意绩效指标可细化、量化、可衡量，进一步提高绩效管理水平。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七、其他需要说明的问题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无其他需要说明的问题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附件：市自然资源和规划局机关上图入库项目项目支出绩效评价自评表</w:t>
      </w: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3" w:line="212" w:lineRule="auto"/>
        <w:ind w:left="255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7"/>
          <w:szCs w:val="37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7"/>
          <w:szCs w:val="37"/>
        </w:rPr>
        <w:t>2022年度项目支出绩效自评表</w:t>
      </w:r>
    </w:p>
    <w:tbl>
      <w:tblPr>
        <w:tblStyle w:val="8"/>
        <w:tblW w:w="9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911"/>
        <w:gridCol w:w="992"/>
        <w:gridCol w:w="245"/>
        <w:gridCol w:w="1219"/>
        <w:gridCol w:w="237"/>
        <w:gridCol w:w="851"/>
        <w:gridCol w:w="1180"/>
        <w:gridCol w:w="662"/>
        <w:gridCol w:w="167"/>
        <w:gridCol w:w="684"/>
        <w:gridCol w:w="185"/>
        <w:gridCol w:w="382"/>
        <w:gridCol w:w="10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74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223" w:lineRule="auto"/>
              <w:ind w:left="2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1" w:lineRule="auto"/>
              <w:ind w:left="2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46" w:type="dxa"/>
            <w:gridSpan w:val="13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岳阳市市本级设施农业用地统一上图入库项目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13" w:lineRule="auto"/>
              <w:ind w:left="1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455" w:type="dxa"/>
            <w:gridSpan w:val="6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岳阳市自然资源和规划局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12" w:lineRule="auto"/>
              <w:ind w:left="155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1" w:type="dxa"/>
            <w:gridSpan w:val="6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岳阳市测绘院有限公司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74" w:type="dxa"/>
            <w:vMerge w:val="restar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0" w:lineRule="auto"/>
              <w:ind w:left="1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项目资金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20" w:lineRule="auto"/>
              <w:ind w:left="2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</w:rPr>
              <w:t>(万元)</w:t>
            </w:r>
          </w:p>
        </w:tc>
        <w:tc>
          <w:tcPr>
            <w:tcW w:w="2148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/>
              <w:ind w:left="4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2" w:lineRule="auto"/>
              <w:ind w:left="3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88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31" w:lineRule="auto"/>
              <w:ind w:left="3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2" w:lineRule="auto"/>
              <w:ind w:left="2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9"/>
              <w:ind w:left="3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auto"/>
              <w:ind w:left="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执行数</w:t>
            </w:r>
          </w:p>
        </w:tc>
        <w:tc>
          <w:tcPr>
            <w:tcW w:w="82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2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分值</w:t>
            </w:r>
          </w:p>
        </w:tc>
        <w:tc>
          <w:tcPr>
            <w:tcW w:w="86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4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48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12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088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70.36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70.36</w:t>
            </w:r>
          </w:p>
        </w:tc>
        <w:tc>
          <w:tcPr>
            <w:tcW w:w="82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74" w:lineRule="auto"/>
              <w:ind w:left="3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0"/>
                <w:szCs w:val="20"/>
              </w:rPr>
              <w:t>10</w:t>
            </w:r>
          </w:p>
        </w:tc>
        <w:tc>
          <w:tcPr>
            <w:tcW w:w="86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48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" w:line="203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088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70.36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70.36</w:t>
            </w:r>
          </w:p>
        </w:tc>
        <w:tc>
          <w:tcPr>
            <w:tcW w:w="82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restar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6" w:lineRule="auto"/>
              <w:ind w:left="324" w:right="147" w:hanging="1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年度总体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目标</w:t>
            </w:r>
          </w:p>
        </w:tc>
        <w:tc>
          <w:tcPr>
            <w:tcW w:w="4455" w:type="dxa"/>
            <w:gridSpan w:val="6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" w:line="211" w:lineRule="auto"/>
              <w:ind w:left="18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91" w:type="dxa"/>
            <w:gridSpan w:val="7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" w:line="211" w:lineRule="auto"/>
              <w:ind w:left="15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74" w:type="dxa"/>
            <w:vMerge w:val="continue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455" w:type="dxa"/>
            <w:gridSpan w:val="6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达到省厅下达指标的100%。调度部门技术力量，分多个小组同时展开外业调查，高质高效完成16.8公顷上图入库的数量指标。项目计划期内完成市本级所有设施农用地调查及上图入库，</w:t>
            </w:r>
          </w:p>
        </w:tc>
        <w:tc>
          <w:tcPr>
            <w:tcW w:w="4291" w:type="dxa"/>
            <w:gridSpan w:val="7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收集了第三次国土调查成果、2018年土地变更调查成果、永久基本农田数据库、永久基本农田储备区数据库、耕地质量分等定级成果、设施农业用地历史备案资料、最新数字正射影像图等相关资料，开展的一次外业摸底调查工作，目的是把设施农业项目信息、数量、范围全面核准，一方面实地核实项目数量和概况，对已掌握设施农业用地项目开展查漏补缺；另一方面实地核实项目坐标范围，对已有范围线与实地不符的进行补充测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74" w:type="dxa"/>
            <w:vMerge w:val="restart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17" w:lineRule="auto"/>
              <w:ind w:left="35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1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1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2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</w:rPr>
              <w:t>年度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80" w:lineRule="exact"/>
              <w:ind w:left="3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5"/>
                <w:sz w:val="20"/>
                <w:szCs w:val="20"/>
              </w:rPr>
              <w:t>实际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191" w:lineRule="auto"/>
              <w:ind w:left="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19" w:lineRule="auto"/>
              <w:ind w:left="2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分值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19" w:lineRule="auto"/>
              <w:ind w:left="2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得分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19" w:lineRule="auto"/>
              <w:ind w:left="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74" w:type="dxa"/>
            <w:vMerge w:val="continue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restar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left="1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3" w:line="220" w:lineRule="auto"/>
              <w:ind w:left="2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(50分)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上图面积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16.8公顷</w:t>
            </w: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100%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74" w:type="dxa"/>
            <w:vMerge w:val="continue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3" w:line="220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质量验收等级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Arial" w:hAnsi="Arial" w:eastAsia="仿宋_GB2312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验收合格</w:t>
            </w: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74" w:type="dxa"/>
            <w:vMerge w:val="continue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完成日期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2022.9</w:t>
            </w: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4" w:type="dxa"/>
            <w:vMerge w:val="continue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控制在预算内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70.36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70.36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74" w:type="dxa"/>
            <w:vMerge w:val="continue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restar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0" w:lineRule="auto"/>
              <w:ind w:left="1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1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1" w:line="220" w:lineRule="auto"/>
              <w:ind w:left="2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(30</w:t>
            </w:r>
            <w:r>
              <w:rPr>
                <w:rFonts w:hint="eastAsia" w:ascii="宋体" w:hAnsi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70" w:lineRule="exact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-3"/>
                <w:kern w:val="0"/>
                <w:position w:val="4"/>
                <w:sz w:val="20"/>
                <w:szCs w:val="20"/>
              </w:rPr>
              <w:t>经济效益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保障集体经济利益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74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71" w:lineRule="exact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-3"/>
                <w:kern w:val="0"/>
                <w:position w:val="5"/>
                <w:sz w:val="20"/>
                <w:szCs w:val="20"/>
              </w:rPr>
              <w:t>社会效益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1.设施农业用地责任人有明确的用地限制和方向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2.有利于设施农业用地市场的健康稳定发展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bidi="ar"/>
              </w:rPr>
              <w:t>≥9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bidi="ar"/>
              </w:rPr>
              <w:t>≥98%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74" w:type="dxa"/>
            <w:vMerge w:val="continue"/>
            <w:tcBorders>
              <w:top w:val="single" w:color="auto" w:sz="4" w:space="0"/>
            </w:tcBorders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7" w:line="222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生态效益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限制了设施农业用地建设规模，防止了土地的浪费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bidi="ar"/>
              </w:rPr>
              <w:t>≥9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bidi="ar"/>
              </w:rPr>
              <w:t>≥98%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74" w:type="dxa"/>
            <w:vMerge w:val="continue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/>
              <w:ind w:left="231" w:right="146" w:hanging="10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可持续影响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Arial" w:hAnsi="Arial" w:eastAsia="仿宋_GB2312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为设施农用地提供了用地规模和限制用地地类提供了依据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bidi="ar"/>
              </w:rPr>
              <w:t>≥9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bidi="ar"/>
              </w:rPr>
              <w:t>≥9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有待改进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74" w:type="dxa"/>
            <w:vMerge w:val="continue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19" w:lineRule="auto"/>
              <w:ind w:left="2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" w:line="220" w:lineRule="auto"/>
              <w:ind w:left="3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186" w:lineRule="auto"/>
              <w:ind w:left="2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(10</w:t>
            </w:r>
            <w:r>
              <w:rPr>
                <w:rFonts w:hint="eastAsia" w:ascii="宋体" w:hAnsi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19" w:lineRule="auto"/>
              <w:ind w:left="131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  <w:t>≥95%</w:t>
            </w: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有待提升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71" w:type="dxa"/>
            <w:gridSpan w:val="9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00" w:lineRule="auto"/>
              <w:ind w:left="31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4"/>
                <w:kern w:val="0"/>
                <w:sz w:val="20"/>
                <w:szCs w:val="20"/>
              </w:rPr>
              <w:t>总分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146" w:lineRule="exact"/>
              <w:ind w:left="2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position w:val="-3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405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2" w:line="220" w:lineRule="auto"/>
        <w:ind w:left="534"/>
        <w:jc w:val="left"/>
        <w:textAlignment w:val="baseline"/>
        <w:rPr>
          <w:rFonts w:ascii="宋体" w:hAnsi="宋体" w:cs="仿宋"/>
          <w:snapToGrid w:val="0"/>
          <w:color w:val="000000"/>
          <w:spacing w:val="-4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23"/>
          <w:kern w:val="0"/>
          <w:sz w:val="22"/>
          <w:szCs w:val="22"/>
        </w:rPr>
        <w:t>填表人：</w:t>
      </w:r>
      <w:r>
        <w:rPr>
          <w:rFonts w:hint="eastAsia" w:ascii="仿宋" w:hAnsi="仿宋" w:cs="仿宋"/>
          <w:snapToGrid w:val="0"/>
          <w:color w:val="000000"/>
          <w:spacing w:val="-23"/>
          <w:kern w:val="0"/>
          <w:sz w:val="22"/>
          <w:szCs w:val="22"/>
        </w:rPr>
        <w:t xml:space="preserve">                        </w:t>
      </w:r>
      <w:r>
        <w:rPr>
          <w:rFonts w:ascii="仿宋" w:hAnsi="仿宋" w:eastAsia="仿宋" w:cs="仿宋"/>
          <w:snapToGrid w:val="0"/>
          <w:color w:val="000000"/>
          <w:spacing w:val="-23"/>
          <w:kern w:val="0"/>
          <w:sz w:val="22"/>
          <w:szCs w:val="22"/>
        </w:rPr>
        <w:t>填报日期：</w:t>
      </w:r>
      <w:r>
        <w:rPr>
          <w:rFonts w:hint="eastAsia" w:ascii="仿宋" w:hAnsi="仿宋" w:cs="仿宋"/>
          <w:snapToGrid w:val="0"/>
          <w:color w:val="000000"/>
          <w:spacing w:val="-23"/>
          <w:kern w:val="0"/>
          <w:sz w:val="22"/>
          <w:szCs w:val="22"/>
        </w:rPr>
        <w:t xml:space="preserve">                      </w:t>
      </w:r>
      <w:r>
        <w:rPr>
          <w:rFonts w:ascii="仿宋" w:hAnsi="仿宋" w:eastAsia="仿宋" w:cs="仿宋"/>
          <w:snapToGrid w:val="0"/>
          <w:color w:val="000000"/>
          <w:spacing w:val="-23"/>
          <w:kern w:val="0"/>
          <w:sz w:val="22"/>
          <w:szCs w:val="22"/>
        </w:rPr>
        <w:t>联系电话：</w:t>
      </w:r>
      <w:r>
        <w:rPr>
          <w:rFonts w:hint="eastAsia" w:ascii="仿宋" w:hAnsi="仿宋" w:cs="仿宋"/>
          <w:snapToGrid w:val="0"/>
          <w:color w:val="000000"/>
          <w:spacing w:val="-23"/>
          <w:kern w:val="0"/>
          <w:sz w:val="22"/>
          <w:szCs w:val="22"/>
        </w:rPr>
        <w:t xml:space="preserve">               </w:t>
      </w:r>
      <w:r>
        <w:rPr>
          <w:rFonts w:ascii="仿宋" w:hAnsi="仿宋" w:eastAsia="仿宋" w:cs="仿宋"/>
          <w:snapToGrid w:val="0"/>
          <w:color w:val="000000"/>
          <w:spacing w:val="-23"/>
          <w:kern w:val="0"/>
          <w:sz w:val="22"/>
          <w:szCs w:val="22"/>
        </w:rPr>
        <w:t>单位负责人签字：</w:t>
      </w:r>
    </w:p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9B9FA"/>
    <w:multiLevelType w:val="singleLevel"/>
    <w:tmpl w:val="0229B9F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A2B7A44"/>
    <w:multiLevelType w:val="singleLevel"/>
    <w:tmpl w:val="7A2B7A44"/>
    <w:lvl w:ilvl="0" w:tentative="0">
      <w:start w:val="2"/>
      <w:numFmt w:val="chineseCounting"/>
      <w:suff w:val="nothing"/>
      <w:lvlText w:val="（%1）"/>
      <w:lvlJc w:val="left"/>
      <w:pPr>
        <w:ind w:left="630" w:firstLine="0"/>
      </w:pPr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VhM2RiODNhYzYwODk5ZTg2MTVmODIyMGIzNjA1OGYifQ=="/>
  </w:docVars>
  <w:rsids>
    <w:rsidRoot w:val="00172A27"/>
    <w:rsid w:val="000261B8"/>
    <w:rsid w:val="00077DFA"/>
    <w:rsid w:val="000E6E17"/>
    <w:rsid w:val="001258C8"/>
    <w:rsid w:val="001654D0"/>
    <w:rsid w:val="00172A27"/>
    <w:rsid w:val="001A4AD6"/>
    <w:rsid w:val="001D753D"/>
    <w:rsid w:val="002453FD"/>
    <w:rsid w:val="00245D9F"/>
    <w:rsid w:val="00297A10"/>
    <w:rsid w:val="002B6B0E"/>
    <w:rsid w:val="00335154"/>
    <w:rsid w:val="00384D6E"/>
    <w:rsid w:val="00412E73"/>
    <w:rsid w:val="00460F5B"/>
    <w:rsid w:val="004D0693"/>
    <w:rsid w:val="00601004"/>
    <w:rsid w:val="00645FED"/>
    <w:rsid w:val="00705FE9"/>
    <w:rsid w:val="00716F99"/>
    <w:rsid w:val="007418D5"/>
    <w:rsid w:val="007875D0"/>
    <w:rsid w:val="007963A0"/>
    <w:rsid w:val="008159A1"/>
    <w:rsid w:val="008E12F9"/>
    <w:rsid w:val="009A44BD"/>
    <w:rsid w:val="00B76DB2"/>
    <w:rsid w:val="00BC6120"/>
    <w:rsid w:val="00C9362D"/>
    <w:rsid w:val="00DC6956"/>
    <w:rsid w:val="00EE4369"/>
    <w:rsid w:val="00F14241"/>
    <w:rsid w:val="00F70971"/>
    <w:rsid w:val="03142A6B"/>
    <w:rsid w:val="07772530"/>
    <w:rsid w:val="0A184C5E"/>
    <w:rsid w:val="0A583B92"/>
    <w:rsid w:val="0D08068F"/>
    <w:rsid w:val="0ED54E67"/>
    <w:rsid w:val="0EEA7130"/>
    <w:rsid w:val="0F145CE2"/>
    <w:rsid w:val="0FA83AEC"/>
    <w:rsid w:val="10260A97"/>
    <w:rsid w:val="106E0F54"/>
    <w:rsid w:val="107C2883"/>
    <w:rsid w:val="10E548CC"/>
    <w:rsid w:val="116B3023"/>
    <w:rsid w:val="11847C41"/>
    <w:rsid w:val="1263719A"/>
    <w:rsid w:val="12CA0DC2"/>
    <w:rsid w:val="139A199E"/>
    <w:rsid w:val="16E52614"/>
    <w:rsid w:val="1A0641EC"/>
    <w:rsid w:val="1A0F4551"/>
    <w:rsid w:val="1A8225F1"/>
    <w:rsid w:val="1DB00010"/>
    <w:rsid w:val="240E771F"/>
    <w:rsid w:val="24AD7223"/>
    <w:rsid w:val="25286B70"/>
    <w:rsid w:val="25D07DA6"/>
    <w:rsid w:val="298567F4"/>
    <w:rsid w:val="2C1D4AC2"/>
    <w:rsid w:val="2C8114F5"/>
    <w:rsid w:val="2F3B2DA0"/>
    <w:rsid w:val="300C7328"/>
    <w:rsid w:val="30640F12"/>
    <w:rsid w:val="323B2B8E"/>
    <w:rsid w:val="33A86E90"/>
    <w:rsid w:val="340F73E6"/>
    <w:rsid w:val="35DA1C76"/>
    <w:rsid w:val="37BF1123"/>
    <w:rsid w:val="380044D3"/>
    <w:rsid w:val="38BE5ED9"/>
    <w:rsid w:val="3DDD212B"/>
    <w:rsid w:val="3FB35A12"/>
    <w:rsid w:val="3FD339BE"/>
    <w:rsid w:val="46FF0150"/>
    <w:rsid w:val="4A733183"/>
    <w:rsid w:val="522B6F95"/>
    <w:rsid w:val="52E57838"/>
    <w:rsid w:val="531E2D4A"/>
    <w:rsid w:val="554D7917"/>
    <w:rsid w:val="569972B8"/>
    <w:rsid w:val="56DB2F3B"/>
    <w:rsid w:val="574C19DE"/>
    <w:rsid w:val="58697EF4"/>
    <w:rsid w:val="5ED339EB"/>
    <w:rsid w:val="618636DE"/>
    <w:rsid w:val="628237BE"/>
    <w:rsid w:val="66313984"/>
    <w:rsid w:val="685E210F"/>
    <w:rsid w:val="6ACD532A"/>
    <w:rsid w:val="6B632B3D"/>
    <w:rsid w:val="6B790669"/>
    <w:rsid w:val="6DBC51E2"/>
    <w:rsid w:val="6F2221F6"/>
    <w:rsid w:val="6F7E103C"/>
    <w:rsid w:val="71F43398"/>
    <w:rsid w:val="720C0443"/>
    <w:rsid w:val="73176B8B"/>
    <w:rsid w:val="731C48E6"/>
    <w:rsid w:val="743B1228"/>
    <w:rsid w:val="75463AA4"/>
    <w:rsid w:val="75907680"/>
    <w:rsid w:val="77383B2B"/>
    <w:rsid w:val="78A813DF"/>
    <w:rsid w:val="7AF64429"/>
    <w:rsid w:val="7CFE5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  <w:style w:type="character" w:customStyle="1" w:styleId="10">
    <w:name w:val="NormalCharacter"/>
    <w:link w:val="11"/>
    <w:qFormat/>
    <w:uiPriority w:val="0"/>
  </w:style>
  <w:style w:type="paragraph" w:customStyle="1" w:styleId="11">
    <w:name w:val="UserStyle_2"/>
    <w:basedOn w:val="1"/>
    <w:link w:val="10"/>
    <w:qFormat/>
    <w:uiPriority w:val="0"/>
    <w:pPr>
      <w:spacing w:line="360" w:lineRule="auto"/>
      <w:textAlignment w:val="baseline"/>
    </w:pPr>
  </w:style>
  <w:style w:type="character" w:customStyle="1" w:styleId="12">
    <w:name w:val="font11"/>
    <w:basedOn w:val="9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3">
    <w:name w:val="font41"/>
    <w:basedOn w:val="9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4">
    <w:name w:val="font71"/>
    <w:basedOn w:val="9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页眉 Char"/>
    <w:basedOn w:val="9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正文文本 Char"/>
    <w:basedOn w:val="9"/>
    <w:link w:val="2"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3283</Words>
  <Characters>3425</Characters>
  <Lines>26</Lines>
  <Paragraphs>7</Paragraphs>
  <TotalTime>0</TotalTime>
  <ScaleCrop>false</ScaleCrop>
  <LinksUpToDate>false</LinksUpToDate>
  <CharactersWithSpaces>3481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2021-06-10T03:41:00Z</dcterms:created>
  <dc:creator>Lenovo</dc:creator>
  <cp:lastModifiedBy>Administrator</cp:lastModifiedBy>
  <cp:lastPrinted>2023-06-14T09:03:00Z</cp:lastPrinted>
  <dcterms:modified xsi:type="dcterms:W3CDTF">2023-10-26T08:04:01Z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463D07FCBCD8488FB065E426C34C080F</vt:lpwstr>
  </property>
</Properties>
</file>