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rPr>
          <w:rFonts w:hint="default" w:ascii="Times New Roman" w:hAnsi="Times New Roman" w:eastAsia="宋体" w:cs="Times New Roman"/>
          <w:sz w:val="36"/>
          <w:szCs w:val="36"/>
        </w:rPr>
      </w:pPr>
    </w:p>
    <w:p>
      <w:pPr>
        <w:suppressAutoHyphens/>
        <w:rPr>
          <w:rFonts w:hint="default" w:ascii="Times New Roman" w:hAnsi="Times New Roman" w:eastAsia="宋体" w:cs="Times New Roman"/>
          <w:sz w:val="36"/>
          <w:szCs w:val="36"/>
        </w:rPr>
      </w:pPr>
    </w:p>
    <w:p>
      <w:pPr>
        <w:keepNext w:val="0"/>
        <w:keepLines w:val="0"/>
        <w:pageBreakBefore w:val="0"/>
        <w:widowControl w:val="0"/>
        <w:suppressAutoHyphens/>
        <w:kinsoku/>
        <w:wordWrap/>
        <w:overflowPunct/>
        <w:topLinePunct w:val="0"/>
        <w:autoSpaceDE/>
        <w:autoSpaceDN/>
        <w:bidi w:val="0"/>
        <w:adjustRightInd/>
        <w:snapToGrid w:val="0"/>
        <w:spacing w:line="360" w:lineRule="auto"/>
        <w:jc w:val="center"/>
        <w:textAlignment w:val="auto"/>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湖南省汨罗市梅树湾矿区建筑用花岗岩矿</w:t>
      </w:r>
    </w:p>
    <w:p>
      <w:pPr>
        <w:keepNext w:val="0"/>
        <w:keepLines w:val="0"/>
        <w:pageBreakBefore w:val="0"/>
        <w:widowControl w:val="0"/>
        <w:suppressAutoHyphens/>
        <w:kinsoku/>
        <w:wordWrap/>
        <w:overflowPunct/>
        <w:topLinePunct w:val="0"/>
        <w:autoSpaceDE/>
        <w:autoSpaceDN/>
        <w:bidi w:val="0"/>
        <w:adjustRightInd/>
        <w:snapToGrid w:val="0"/>
        <w:spacing w:line="360" w:lineRule="auto"/>
        <w:jc w:val="center"/>
        <w:textAlignment w:val="auto"/>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lang w:val="en-US" w:eastAsia="zh-CN"/>
        </w:rPr>
        <w:t>矿山</w:t>
      </w:r>
      <w:r>
        <w:rPr>
          <w:rFonts w:hint="default" w:ascii="Times New Roman" w:hAnsi="Times New Roman" w:eastAsia="黑体" w:cs="Times New Roman"/>
          <w:b/>
          <w:bCs/>
          <w:sz w:val="44"/>
          <w:szCs w:val="44"/>
        </w:rPr>
        <w:t>生态保护修复方案</w:t>
      </w:r>
    </w:p>
    <w:p>
      <w:pPr>
        <w:suppressAutoHyphens/>
        <w:jc w:val="center"/>
        <w:rPr>
          <w:rFonts w:hint="default" w:ascii="Times New Roman" w:hAnsi="Times New Roman" w:eastAsia="宋体" w:cs="Times New Roman"/>
          <w:b/>
          <w:bCs/>
          <w:sz w:val="36"/>
          <w:szCs w:val="36"/>
        </w:rPr>
      </w:pPr>
    </w:p>
    <w:p>
      <w:pPr>
        <w:suppressAutoHyphens/>
        <w:jc w:val="center"/>
        <w:rPr>
          <w:rFonts w:hint="default" w:ascii="Times New Roman" w:hAnsi="Times New Roman" w:eastAsia="宋体" w:cs="Times New Roman"/>
          <w:b/>
          <w:bCs/>
          <w:sz w:val="36"/>
          <w:szCs w:val="36"/>
        </w:rPr>
      </w:pPr>
    </w:p>
    <w:p>
      <w:pPr>
        <w:suppressAutoHyphens/>
        <w:jc w:val="center"/>
        <w:rPr>
          <w:rFonts w:hint="default" w:ascii="Times New Roman" w:hAnsi="Times New Roman" w:eastAsia="宋体" w:cs="Times New Roman"/>
          <w:b/>
          <w:bCs/>
          <w:sz w:val="36"/>
          <w:szCs w:val="36"/>
        </w:rPr>
      </w:pPr>
    </w:p>
    <w:p>
      <w:pPr>
        <w:suppressAutoHyphens/>
        <w:jc w:val="center"/>
        <w:rPr>
          <w:rFonts w:hint="default" w:ascii="Times New Roman" w:hAnsi="Times New Roman" w:eastAsia="宋体" w:cs="Times New Roman"/>
          <w:b/>
          <w:bCs/>
          <w:sz w:val="36"/>
          <w:szCs w:val="36"/>
        </w:rPr>
      </w:pPr>
    </w:p>
    <w:p>
      <w:pPr>
        <w:suppressAutoHyphens/>
        <w:jc w:val="center"/>
        <w:rPr>
          <w:rFonts w:hint="default" w:ascii="Times New Roman" w:hAnsi="Times New Roman" w:eastAsia="宋体" w:cs="Times New Roman"/>
          <w:b/>
          <w:bCs/>
          <w:sz w:val="36"/>
          <w:szCs w:val="36"/>
        </w:rPr>
      </w:pPr>
    </w:p>
    <w:p>
      <w:pPr>
        <w:suppressAutoHyphens/>
        <w:jc w:val="center"/>
        <w:rPr>
          <w:rFonts w:hint="default" w:ascii="Times New Roman" w:hAnsi="Times New Roman" w:eastAsia="宋体" w:cs="Times New Roman"/>
          <w:b/>
          <w:bCs/>
          <w:sz w:val="36"/>
          <w:szCs w:val="36"/>
        </w:rPr>
      </w:pPr>
    </w:p>
    <w:p>
      <w:pPr>
        <w:suppressAutoHyphens/>
        <w:jc w:val="center"/>
        <w:rPr>
          <w:rFonts w:hint="default" w:ascii="Times New Roman" w:hAnsi="Times New Roman" w:eastAsia="宋体" w:cs="Times New Roman"/>
          <w:b/>
          <w:bCs/>
          <w:sz w:val="36"/>
          <w:szCs w:val="36"/>
        </w:rPr>
      </w:pPr>
    </w:p>
    <w:p>
      <w:pPr>
        <w:suppressAutoHyphens/>
        <w:jc w:val="center"/>
        <w:rPr>
          <w:rFonts w:hint="default" w:ascii="Times New Roman" w:hAnsi="Times New Roman" w:eastAsia="宋体" w:cs="Times New Roman"/>
          <w:b/>
          <w:bCs/>
          <w:sz w:val="36"/>
          <w:szCs w:val="36"/>
        </w:rPr>
      </w:pPr>
    </w:p>
    <w:p>
      <w:pPr>
        <w:suppressAutoHyphens/>
        <w:jc w:val="center"/>
        <w:rPr>
          <w:rFonts w:hint="default" w:ascii="Times New Roman" w:hAnsi="Times New Roman" w:eastAsia="宋体" w:cs="Times New Roman"/>
          <w:b/>
          <w:bCs/>
          <w:sz w:val="36"/>
          <w:szCs w:val="36"/>
        </w:rPr>
      </w:pPr>
    </w:p>
    <w:p>
      <w:pPr>
        <w:suppressAutoHyphens/>
        <w:jc w:val="center"/>
        <w:rPr>
          <w:rFonts w:hint="default" w:ascii="Times New Roman" w:hAnsi="Times New Roman" w:eastAsia="宋体" w:cs="Times New Roman"/>
          <w:b/>
          <w:bCs/>
          <w:sz w:val="36"/>
          <w:szCs w:val="36"/>
        </w:rPr>
      </w:pPr>
    </w:p>
    <w:p>
      <w:pPr>
        <w:suppressAutoHyphens/>
        <w:jc w:val="center"/>
        <w:rPr>
          <w:rFonts w:hint="default" w:ascii="Times New Roman" w:hAnsi="Times New Roman" w:eastAsia="宋体" w:cs="Times New Roman"/>
          <w:b/>
          <w:bCs/>
          <w:sz w:val="36"/>
          <w:szCs w:val="36"/>
        </w:rPr>
      </w:pPr>
    </w:p>
    <w:p>
      <w:pPr>
        <w:suppressAutoHyphens/>
        <w:jc w:val="center"/>
        <w:rPr>
          <w:rFonts w:hint="default" w:ascii="Times New Roman" w:hAnsi="Times New Roman" w:eastAsia="宋体" w:cs="Times New Roman"/>
          <w:b/>
          <w:bCs/>
          <w:sz w:val="36"/>
          <w:szCs w:val="36"/>
        </w:rPr>
      </w:pPr>
    </w:p>
    <w:p>
      <w:pPr>
        <w:suppressAutoHyphens/>
        <w:jc w:val="center"/>
        <w:rPr>
          <w:rFonts w:hint="default" w:ascii="Times New Roman" w:hAnsi="Times New Roman" w:eastAsia="宋体" w:cs="Times New Roman"/>
          <w:b/>
          <w:bCs/>
          <w:sz w:val="36"/>
          <w:szCs w:val="36"/>
        </w:rPr>
      </w:pPr>
    </w:p>
    <w:p>
      <w:pPr>
        <w:suppressAutoHyphens/>
        <w:jc w:val="center"/>
        <w:rPr>
          <w:rFonts w:hint="default" w:ascii="Times New Roman" w:hAnsi="Times New Roman" w:eastAsia="宋体" w:cs="Times New Roman"/>
          <w:sz w:val="36"/>
          <w:szCs w:val="36"/>
          <w:lang w:val="en-US" w:eastAsia="zh-CN"/>
        </w:rPr>
      </w:pPr>
      <w:r>
        <w:rPr>
          <w:rFonts w:hint="eastAsia" w:ascii="Times New Roman" w:hAnsi="Times New Roman" w:eastAsia="宋体" w:cs="Times New Roman"/>
          <w:sz w:val="36"/>
          <w:szCs w:val="36"/>
          <w:lang w:val="en-US" w:eastAsia="zh-CN"/>
        </w:rPr>
        <w:t>建设单位</w:t>
      </w:r>
      <w:r>
        <w:rPr>
          <w:rFonts w:hint="default" w:ascii="Times New Roman" w:hAnsi="Times New Roman" w:eastAsia="宋体" w:cs="Times New Roman"/>
          <w:sz w:val="36"/>
          <w:szCs w:val="36"/>
          <w:lang w:val="en-US" w:eastAsia="zh-CN"/>
        </w:rPr>
        <w:t>：汨罗市产业发展有限责任公司</w:t>
      </w:r>
    </w:p>
    <w:p>
      <w:pPr>
        <w:suppressAutoHyphens/>
        <w:jc w:val="center"/>
        <w:rPr>
          <w:rFonts w:hint="default" w:ascii="Times New Roman" w:hAnsi="Times New Roman" w:eastAsia="宋体" w:cs="Times New Roman"/>
          <w:sz w:val="36"/>
          <w:szCs w:val="36"/>
        </w:rPr>
      </w:pPr>
      <w:r>
        <w:rPr>
          <w:rFonts w:hint="eastAsia" w:ascii="Times New Roman" w:hAnsi="Times New Roman" w:eastAsia="宋体" w:cs="Times New Roman"/>
          <w:sz w:val="36"/>
          <w:szCs w:val="36"/>
          <w:lang w:val="en-US" w:eastAsia="zh-CN"/>
        </w:rPr>
        <w:t>编制单位：</w:t>
      </w:r>
      <w:r>
        <w:rPr>
          <w:rFonts w:hint="default" w:ascii="Times New Roman" w:hAnsi="Times New Roman" w:eastAsia="宋体" w:cs="Times New Roman"/>
          <w:sz w:val="36"/>
          <w:szCs w:val="36"/>
          <w:lang w:val="en-US" w:eastAsia="zh-CN"/>
        </w:rPr>
        <w:t>江西省勘察设计研究院有限</w:t>
      </w:r>
      <w:r>
        <w:rPr>
          <w:rFonts w:hint="default" w:ascii="Times New Roman" w:hAnsi="Times New Roman" w:eastAsia="宋体" w:cs="Times New Roman"/>
          <w:sz w:val="36"/>
          <w:szCs w:val="36"/>
        </w:rPr>
        <w:t>公司</w:t>
      </w:r>
    </w:p>
    <w:p>
      <w:pPr>
        <w:suppressAutoHyphens/>
        <w:jc w:val="center"/>
        <w:rPr>
          <w:rFonts w:hint="default" w:ascii="Times New Roman" w:hAnsi="Times New Roman" w:eastAsia="宋体" w:cs="Times New Roman"/>
          <w:sz w:val="36"/>
          <w:szCs w:val="36"/>
        </w:rPr>
      </w:pPr>
      <w:r>
        <w:rPr>
          <w:rFonts w:hint="default" w:ascii="Times New Roman" w:hAnsi="Times New Roman" w:eastAsia="宋体" w:cs="Times New Roman"/>
          <w:sz w:val="36"/>
          <w:szCs w:val="36"/>
          <w:lang w:val="en-US" w:eastAsia="zh-CN"/>
        </w:rPr>
        <w:t>二〇二四</w:t>
      </w:r>
      <w:r>
        <w:rPr>
          <w:rFonts w:hint="default" w:ascii="Times New Roman" w:hAnsi="Times New Roman" w:eastAsia="宋体" w:cs="Times New Roman"/>
          <w:sz w:val="36"/>
          <w:szCs w:val="36"/>
        </w:rPr>
        <w:t>年</w:t>
      </w:r>
      <w:r>
        <w:rPr>
          <w:rFonts w:hint="default" w:ascii="Times New Roman" w:hAnsi="Times New Roman" w:eastAsia="宋体" w:cs="Times New Roman"/>
          <w:sz w:val="36"/>
          <w:szCs w:val="36"/>
          <w:lang w:val="en-US" w:eastAsia="zh-CN"/>
        </w:rPr>
        <w:t>五</w:t>
      </w:r>
      <w:r>
        <w:rPr>
          <w:rFonts w:hint="default" w:ascii="Times New Roman" w:hAnsi="Times New Roman" w:eastAsia="宋体" w:cs="Times New Roman"/>
          <w:sz w:val="36"/>
          <w:szCs w:val="36"/>
        </w:rPr>
        <w:t>月</w:t>
      </w:r>
    </w:p>
    <w:p>
      <w:pPr>
        <w:widowControl/>
        <w:jc w:val="left"/>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br w:type="page"/>
      </w:r>
    </w:p>
    <w:p>
      <w:pPr>
        <w:suppressAutoHyphens/>
        <w:jc w:val="center"/>
        <w:rPr>
          <w:rFonts w:hint="default" w:ascii="Times New Roman" w:hAnsi="Times New Roman" w:eastAsia="宋体" w:cs="Times New Roman"/>
          <w:b/>
          <w:bCs/>
          <w:sz w:val="36"/>
          <w:szCs w:val="36"/>
        </w:rPr>
      </w:pPr>
    </w:p>
    <w:p>
      <w:pPr>
        <w:keepNext w:val="0"/>
        <w:keepLines w:val="0"/>
        <w:pageBreakBefore w:val="0"/>
        <w:widowControl w:val="0"/>
        <w:suppressAutoHyphens/>
        <w:kinsoku/>
        <w:wordWrap/>
        <w:overflowPunct/>
        <w:topLinePunct w:val="0"/>
        <w:autoSpaceDE/>
        <w:autoSpaceDN/>
        <w:bidi w:val="0"/>
        <w:adjustRightInd/>
        <w:snapToGrid w:val="0"/>
        <w:spacing w:line="360" w:lineRule="auto"/>
        <w:jc w:val="center"/>
        <w:textAlignment w:val="auto"/>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湖南省汨罗市梅树湾矿区建筑用花岗岩矿</w:t>
      </w:r>
    </w:p>
    <w:p>
      <w:pPr>
        <w:keepNext w:val="0"/>
        <w:keepLines w:val="0"/>
        <w:pageBreakBefore w:val="0"/>
        <w:widowControl w:val="0"/>
        <w:suppressAutoHyphens/>
        <w:kinsoku/>
        <w:wordWrap/>
        <w:overflowPunct/>
        <w:topLinePunct w:val="0"/>
        <w:autoSpaceDE/>
        <w:autoSpaceDN/>
        <w:bidi w:val="0"/>
        <w:adjustRightInd/>
        <w:snapToGrid w:val="0"/>
        <w:spacing w:line="360" w:lineRule="auto"/>
        <w:jc w:val="center"/>
        <w:textAlignment w:val="auto"/>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lang w:val="en-US" w:eastAsia="zh-CN"/>
        </w:rPr>
        <w:t>矿山</w:t>
      </w:r>
      <w:r>
        <w:rPr>
          <w:rFonts w:hint="default" w:ascii="Times New Roman" w:hAnsi="Times New Roman" w:eastAsia="黑体" w:cs="Times New Roman"/>
          <w:b/>
          <w:bCs/>
          <w:sz w:val="44"/>
          <w:szCs w:val="44"/>
        </w:rPr>
        <w:t>生态保护修复方案</w:t>
      </w:r>
    </w:p>
    <w:p>
      <w:pPr>
        <w:suppressAutoHyphens/>
        <w:jc w:val="center"/>
        <w:rPr>
          <w:rFonts w:hint="default" w:ascii="Times New Roman" w:hAnsi="Times New Roman" w:eastAsia="宋体" w:cs="Times New Roman"/>
          <w:b/>
          <w:bCs/>
          <w:sz w:val="36"/>
          <w:szCs w:val="36"/>
        </w:rPr>
      </w:pPr>
    </w:p>
    <w:p>
      <w:pPr>
        <w:suppressAutoHyphens/>
        <w:jc w:val="center"/>
        <w:rPr>
          <w:rFonts w:hint="default" w:ascii="Times New Roman" w:hAnsi="Times New Roman" w:eastAsia="宋体" w:cs="Times New Roman"/>
          <w:b/>
          <w:bCs/>
          <w:sz w:val="36"/>
          <w:szCs w:val="36"/>
        </w:rPr>
      </w:pPr>
    </w:p>
    <w:p>
      <w:pPr>
        <w:suppressAutoHyphens/>
        <w:jc w:val="center"/>
        <w:rPr>
          <w:rFonts w:hint="default" w:ascii="Times New Roman" w:hAnsi="Times New Roman" w:eastAsia="宋体" w:cs="Times New Roman"/>
          <w:b/>
          <w:bCs/>
          <w:sz w:val="36"/>
          <w:szCs w:val="36"/>
        </w:rPr>
      </w:pPr>
    </w:p>
    <w:p>
      <w:pPr>
        <w:suppressAutoHyphens/>
        <w:jc w:val="center"/>
        <w:rPr>
          <w:rFonts w:hint="default" w:ascii="Times New Roman" w:hAnsi="Times New Roman" w:eastAsia="宋体" w:cs="Times New Roman"/>
          <w:b/>
          <w:bCs/>
          <w:sz w:val="36"/>
          <w:szCs w:val="36"/>
        </w:rPr>
      </w:pPr>
    </w:p>
    <w:p>
      <w:pPr>
        <w:suppressAutoHyphens/>
        <w:spacing w:line="360" w:lineRule="auto"/>
        <w:jc w:val="left"/>
        <w:rPr>
          <w:rFonts w:hint="default" w:ascii="Times New Roman" w:hAnsi="Times New Roman" w:eastAsia="宋体" w:cs="Times New Roman"/>
          <w:sz w:val="36"/>
          <w:szCs w:val="36"/>
        </w:rPr>
      </w:pPr>
    </w:p>
    <w:p>
      <w:pPr>
        <w:suppressAutoHyphens/>
        <w:spacing w:line="360" w:lineRule="auto"/>
        <w:ind w:firstLine="1800" w:firstLineChars="500"/>
        <w:rPr>
          <w:rFonts w:hint="default" w:ascii="Times New Roman" w:hAnsi="Times New Roman" w:eastAsia="宋体" w:cs="Times New Roman"/>
          <w:sz w:val="36"/>
          <w:szCs w:val="36"/>
        </w:rPr>
      </w:pPr>
      <w:r>
        <w:rPr>
          <w:rFonts w:hint="default" w:ascii="Times New Roman" w:hAnsi="Times New Roman" w:eastAsia="宋体" w:cs="Times New Roman"/>
          <w:sz w:val="36"/>
          <w:szCs w:val="36"/>
          <w:lang w:val="en-US" w:eastAsia="zh-CN"/>
        </w:rPr>
        <w:t>项目</w:t>
      </w:r>
      <w:r>
        <w:rPr>
          <w:rFonts w:hint="default" w:ascii="Times New Roman" w:hAnsi="Times New Roman" w:eastAsia="宋体" w:cs="Times New Roman"/>
          <w:sz w:val="36"/>
          <w:szCs w:val="36"/>
        </w:rPr>
        <w:t>负责人：*</w:t>
      </w:r>
    </w:p>
    <w:p>
      <w:pPr>
        <w:suppressAutoHyphens/>
        <w:spacing w:line="360" w:lineRule="auto"/>
        <w:ind w:firstLine="1800" w:firstLineChars="500"/>
        <w:rPr>
          <w:rFonts w:hint="default" w:ascii="Times New Roman" w:hAnsi="Times New Roman" w:eastAsia="宋体" w:cs="Times New Roman"/>
          <w:sz w:val="36"/>
          <w:szCs w:val="36"/>
        </w:rPr>
      </w:pPr>
      <w:r>
        <w:rPr>
          <w:rFonts w:hint="default" w:ascii="Times New Roman" w:hAnsi="Times New Roman" w:eastAsia="宋体" w:cs="Times New Roman"/>
          <w:sz w:val="36"/>
          <w:szCs w:val="36"/>
          <w:lang w:val="en-US" w:eastAsia="zh-CN"/>
        </w:rPr>
        <w:t>技术</w:t>
      </w:r>
      <w:r>
        <w:rPr>
          <w:rFonts w:hint="default" w:ascii="Times New Roman" w:hAnsi="Times New Roman" w:eastAsia="宋体" w:cs="Times New Roman"/>
          <w:sz w:val="36"/>
          <w:szCs w:val="36"/>
        </w:rPr>
        <w:t>负责人：*</w:t>
      </w:r>
    </w:p>
    <w:p>
      <w:pPr>
        <w:suppressAutoHyphens/>
        <w:spacing w:line="360" w:lineRule="auto"/>
        <w:ind w:firstLine="1800" w:firstLineChars="500"/>
        <w:rPr>
          <w:rFonts w:hint="default" w:ascii="Times New Roman" w:hAnsi="Times New Roman" w:eastAsia="宋体" w:cs="Times New Roman"/>
          <w:sz w:val="36"/>
          <w:szCs w:val="36"/>
          <w:lang w:val="en-US" w:eastAsia="zh-CN"/>
        </w:rPr>
      </w:pPr>
      <w:r>
        <w:rPr>
          <w:rFonts w:hint="default" w:ascii="Times New Roman" w:hAnsi="Times New Roman" w:eastAsia="宋体" w:cs="Times New Roman"/>
          <w:sz w:val="36"/>
          <w:szCs w:val="36"/>
          <w:lang w:val="en-US" w:eastAsia="zh-CN"/>
        </w:rPr>
        <w:t>编  写  人：*</w:t>
      </w:r>
    </w:p>
    <w:p>
      <w:pPr>
        <w:suppressAutoHyphens/>
        <w:spacing w:line="360" w:lineRule="auto"/>
        <w:ind w:firstLine="1800" w:firstLineChars="500"/>
        <w:rPr>
          <w:rFonts w:hint="default" w:ascii="Times New Roman" w:hAnsi="Times New Roman" w:eastAsia="宋体" w:cs="Times New Roman"/>
          <w:sz w:val="36"/>
          <w:szCs w:val="36"/>
        </w:rPr>
      </w:pPr>
      <w:r>
        <w:rPr>
          <w:rFonts w:hint="default" w:ascii="Times New Roman" w:hAnsi="Times New Roman" w:eastAsia="宋体" w:cs="Times New Roman"/>
          <w:sz w:val="36"/>
          <w:szCs w:val="36"/>
        </w:rPr>
        <w:t>审  核  人：*</w:t>
      </w:r>
    </w:p>
    <w:p>
      <w:pPr>
        <w:suppressAutoHyphens/>
        <w:spacing w:line="360" w:lineRule="auto"/>
        <w:ind w:firstLine="1800" w:firstLineChars="500"/>
        <w:rPr>
          <w:rFonts w:hint="default" w:ascii="Times New Roman" w:hAnsi="Times New Roman" w:eastAsia="宋体" w:cs="Times New Roman"/>
          <w:sz w:val="36"/>
          <w:szCs w:val="36"/>
        </w:rPr>
      </w:pPr>
      <w:r>
        <w:rPr>
          <w:rFonts w:hint="default" w:ascii="Times New Roman" w:hAnsi="Times New Roman" w:eastAsia="宋体" w:cs="Times New Roman"/>
          <w:sz w:val="36"/>
          <w:szCs w:val="36"/>
          <w:lang w:val="en-US" w:eastAsia="zh-CN"/>
        </w:rPr>
        <w:t>单位</w:t>
      </w:r>
      <w:r>
        <w:rPr>
          <w:rFonts w:hint="default" w:ascii="Times New Roman" w:hAnsi="Times New Roman" w:eastAsia="宋体" w:cs="Times New Roman"/>
          <w:sz w:val="36"/>
          <w:szCs w:val="36"/>
        </w:rPr>
        <w:t>负责人：*</w:t>
      </w:r>
    </w:p>
    <w:p>
      <w:pPr>
        <w:suppressAutoHyphens/>
        <w:spacing w:line="360" w:lineRule="auto"/>
        <w:ind w:firstLine="1800" w:firstLineChars="500"/>
        <w:rPr>
          <w:rFonts w:hint="default" w:ascii="Times New Roman" w:hAnsi="Times New Roman" w:eastAsia="宋体" w:cs="Times New Roman"/>
          <w:sz w:val="36"/>
          <w:szCs w:val="36"/>
        </w:rPr>
      </w:pPr>
      <w:r>
        <w:rPr>
          <w:rFonts w:hint="default" w:ascii="Times New Roman" w:hAnsi="Times New Roman" w:eastAsia="宋体" w:cs="Times New Roman"/>
          <w:sz w:val="36"/>
          <w:szCs w:val="36"/>
          <w:lang w:val="en-US" w:eastAsia="zh-CN"/>
        </w:rPr>
        <w:t>总工 程 师</w:t>
      </w:r>
      <w:r>
        <w:rPr>
          <w:rFonts w:hint="default" w:ascii="Times New Roman" w:hAnsi="Times New Roman" w:eastAsia="宋体" w:cs="Times New Roman"/>
          <w:sz w:val="36"/>
          <w:szCs w:val="36"/>
        </w:rPr>
        <w:t>：*</w:t>
      </w:r>
    </w:p>
    <w:p>
      <w:pPr>
        <w:suppressAutoHyphens/>
        <w:jc w:val="left"/>
        <w:rPr>
          <w:rFonts w:hint="default" w:ascii="Times New Roman" w:hAnsi="Times New Roman" w:eastAsia="宋体" w:cs="Times New Roman"/>
          <w:sz w:val="36"/>
          <w:szCs w:val="36"/>
        </w:rPr>
      </w:pPr>
    </w:p>
    <w:p>
      <w:pPr>
        <w:suppressAutoHyphens/>
        <w:jc w:val="left"/>
        <w:rPr>
          <w:rFonts w:hint="default" w:ascii="Times New Roman" w:hAnsi="Times New Roman" w:eastAsia="宋体" w:cs="Times New Roman"/>
          <w:sz w:val="36"/>
          <w:szCs w:val="36"/>
        </w:rPr>
      </w:pPr>
    </w:p>
    <w:p>
      <w:pPr>
        <w:suppressAutoHyphens/>
        <w:jc w:val="left"/>
        <w:rPr>
          <w:rFonts w:hint="default" w:ascii="Times New Roman" w:hAnsi="Times New Roman" w:eastAsia="宋体" w:cs="Times New Roman"/>
          <w:sz w:val="36"/>
          <w:szCs w:val="36"/>
        </w:rPr>
      </w:pPr>
    </w:p>
    <w:p>
      <w:pPr>
        <w:suppressAutoHyphens/>
        <w:jc w:val="left"/>
        <w:rPr>
          <w:rFonts w:hint="default" w:ascii="Times New Roman" w:hAnsi="Times New Roman" w:eastAsia="宋体" w:cs="Times New Roman"/>
          <w:sz w:val="36"/>
          <w:szCs w:val="36"/>
        </w:rPr>
      </w:pPr>
    </w:p>
    <w:p>
      <w:pPr>
        <w:suppressAutoHyphens/>
        <w:jc w:val="center"/>
        <w:rPr>
          <w:rFonts w:hint="default" w:ascii="Times New Roman" w:hAnsi="Times New Roman" w:eastAsia="宋体" w:cs="Times New Roman"/>
          <w:sz w:val="36"/>
          <w:szCs w:val="36"/>
          <w:lang w:val="en-US" w:eastAsia="zh-CN"/>
        </w:rPr>
      </w:pPr>
      <w:r>
        <w:rPr>
          <w:rFonts w:hint="default" w:ascii="Times New Roman" w:hAnsi="Times New Roman" w:eastAsia="宋体" w:cs="Times New Roman"/>
          <w:sz w:val="36"/>
          <w:szCs w:val="36"/>
          <w:lang w:val="en-US" w:eastAsia="zh-CN"/>
        </w:rPr>
        <w:t>编制单位：江西省勘察设计研究院有限公司</w:t>
      </w:r>
    </w:p>
    <w:p>
      <w:pPr>
        <w:suppressAutoHyphens/>
        <w:jc w:val="center"/>
        <w:rPr>
          <w:rFonts w:hint="default" w:ascii="Times New Roman" w:hAnsi="Times New Roman" w:eastAsia="宋体" w:cs="Times New Roman"/>
          <w:sz w:val="36"/>
          <w:szCs w:val="36"/>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eastAsia="宋体" w:cs="Times New Roman"/>
          <w:sz w:val="36"/>
          <w:szCs w:val="36"/>
          <w:lang w:val="en-US" w:eastAsia="zh-CN"/>
        </w:rPr>
        <w:t>二〇二四年五月</w:t>
      </w:r>
    </w:p>
    <w:p>
      <w:pPr>
        <w:suppressAutoHyphens/>
        <w:jc w:val="center"/>
        <w:rPr>
          <w:rFonts w:hint="default" w:ascii="Times New Roman" w:hAnsi="Times New Roman" w:eastAsia="宋体" w:cs="Times New Roman"/>
          <w:sz w:val="36"/>
          <w:szCs w:val="36"/>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0"/>
        <w:jc w:val="center"/>
        <w:rPr>
          <w:rFonts w:hint="default" w:ascii="Times New Roman" w:hAnsi="Times New Roman" w:eastAsia="宋体" w:cs="Times New Roman"/>
          <w:b/>
          <w:bCs/>
          <w:color w:val="auto"/>
          <w:kern w:val="2"/>
          <w:sz w:val="36"/>
          <w:szCs w:val="36"/>
        </w:rPr>
      </w:pPr>
      <w:r>
        <w:rPr>
          <w:rFonts w:hint="default" w:ascii="Times New Roman" w:hAnsi="Times New Roman" w:eastAsia="宋体" w:cs="Times New Roman"/>
          <w:b/>
          <w:bCs/>
          <w:color w:val="auto"/>
          <w:kern w:val="2"/>
          <w:sz w:val="36"/>
          <w:szCs w:val="36"/>
        </w:rPr>
        <w:t>目   录</w:t>
      </w:r>
    </w:p>
    <w:p>
      <w:pPr>
        <w:pStyle w:val="9"/>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TOC \o "1-3" \h \z \u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"_Toc155772655" </w:instrText>
      </w:r>
      <w:r>
        <w:rPr>
          <w:rFonts w:hint="default" w:ascii="Times New Roman" w:hAnsi="Times New Roman" w:cs="Times New Roman"/>
          <w:sz w:val="28"/>
          <w:szCs w:val="28"/>
        </w:rPr>
        <w:fldChar w:fldCharType="separate"/>
      </w:r>
      <w:r>
        <w:rPr>
          <w:rStyle w:val="16"/>
          <w:rFonts w:hint="default" w:ascii="Times New Roman" w:hAnsi="Times New Roman" w:cs="Times New Roman"/>
          <w:sz w:val="28"/>
          <w:szCs w:val="28"/>
        </w:rPr>
        <w:t>第一章</w:t>
      </w:r>
      <w:r>
        <w:rPr>
          <w:rStyle w:val="16"/>
          <w:rFonts w:hint="default" w:ascii="Times New Roman" w:hAnsi="Times New Roman" w:cs="Times New Roman"/>
          <w:sz w:val="28"/>
          <w:szCs w:val="28"/>
          <w:lang w:val="en-US" w:eastAsia="zh-CN"/>
        </w:rPr>
        <w:t xml:space="preserve"> </w:t>
      </w:r>
      <w:r>
        <w:rPr>
          <w:rStyle w:val="16"/>
          <w:rFonts w:hint="default" w:ascii="Times New Roman" w:hAnsi="Times New Roman" w:cs="Times New Roman"/>
          <w:sz w:val="28"/>
          <w:szCs w:val="28"/>
        </w:rPr>
        <w:t>基本情况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_Toc155772655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"_Toc155772656"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一、方案编制工作概况</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_Toc155772656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"_Toc155772657"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二、矿山基本情况</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_Toc155772657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10</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"_Toc155772658"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三、矿山开采与生态保护修复现状</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_Toc155772658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16</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9"/>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"_Toc155772659" </w:instrText>
      </w:r>
      <w:r>
        <w:rPr>
          <w:rFonts w:hint="default" w:ascii="Times New Roman" w:hAnsi="Times New Roman" w:cs="Times New Roman"/>
          <w:sz w:val="28"/>
          <w:szCs w:val="28"/>
        </w:rPr>
        <w:fldChar w:fldCharType="separate"/>
      </w:r>
      <w:r>
        <w:rPr>
          <w:rStyle w:val="16"/>
          <w:rFonts w:hint="default" w:ascii="Times New Roman" w:hAnsi="Times New Roman" w:cs="Times New Roman"/>
          <w:sz w:val="28"/>
          <w:szCs w:val="28"/>
        </w:rPr>
        <w:t>第二章</w:t>
      </w:r>
      <w:r>
        <w:rPr>
          <w:rStyle w:val="16"/>
          <w:rFonts w:hint="default" w:ascii="Times New Roman" w:hAnsi="Times New Roman" w:cs="Times New Roman"/>
          <w:sz w:val="28"/>
          <w:szCs w:val="28"/>
          <w:lang w:val="en-US" w:eastAsia="zh-CN"/>
        </w:rPr>
        <w:t xml:space="preserve"> </w:t>
      </w:r>
      <w:r>
        <w:rPr>
          <w:rStyle w:val="16"/>
          <w:rFonts w:hint="default" w:ascii="Times New Roman" w:hAnsi="Times New Roman" w:cs="Times New Roman"/>
          <w:sz w:val="28"/>
          <w:szCs w:val="28"/>
        </w:rPr>
        <w:t>矿山生态环境背景</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_Toc155772659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"_Toc155772660"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一、自然地理</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_Toc155772660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25</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"_Toc155772661"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二、地质环境</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_Toc155772661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26</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"_Toc155772662"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三、生物环境</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_Toc155772662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34</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"_Toc155772663"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四、人居环境</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_Toc155772663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36</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9"/>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"_Toc155772664" </w:instrText>
      </w:r>
      <w:r>
        <w:rPr>
          <w:rFonts w:hint="default" w:ascii="Times New Roman" w:hAnsi="Times New Roman" w:cs="Times New Roman"/>
          <w:sz w:val="28"/>
          <w:szCs w:val="28"/>
        </w:rPr>
        <w:fldChar w:fldCharType="separate"/>
      </w:r>
      <w:r>
        <w:rPr>
          <w:rStyle w:val="16"/>
          <w:rFonts w:hint="default" w:ascii="Times New Roman" w:hAnsi="Times New Roman" w:cs="Times New Roman"/>
          <w:sz w:val="28"/>
          <w:szCs w:val="28"/>
        </w:rPr>
        <w:t>第三章</w:t>
      </w:r>
      <w:r>
        <w:rPr>
          <w:rStyle w:val="16"/>
          <w:rFonts w:hint="default" w:ascii="Times New Roman" w:hAnsi="Times New Roman" w:cs="Times New Roman"/>
          <w:sz w:val="28"/>
          <w:szCs w:val="28"/>
          <w:lang w:val="en-US" w:eastAsia="zh-CN"/>
        </w:rPr>
        <w:t xml:space="preserve"> </w:t>
      </w:r>
      <w:r>
        <w:rPr>
          <w:rStyle w:val="16"/>
          <w:rFonts w:hint="default" w:ascii="Times New Roman" w:hAnsi="Times New Roman" w:cs="Times New Roman"/>
          <w:sz w:val="28"/>
          <w:szCs w:val="28"/>
        </w:rPr>
        <w:t>矿山生态问题识别和判断</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_Toc155772664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"_Toc155772665"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一、地形地貌景观破坏</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_Toc155772665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39</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"_Toc155772666"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二、土地资源占损</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_Toc155772666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"_Toc155772667"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三、水资源水生态破坏</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_Toc155772667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46</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"_Toc155772668"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四、矿山地质灾害影响</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_Toc155772668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48</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"_Toc155772669"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五、生物多样性破坏</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_Toc155772669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51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9"/>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"_Toc155772670" </w:instrText>
      </w:r>
      <w:r>
        <w:rPr>
          <w:rFonts w:hint="default" w:ascii="Times New Roman" w:hAnsi="Times New Roman" w:cs="Times New Roman"/>
          <w:sz w:val="28"/>
          <w:szCs w:val="28"/>
        </w:rPr>
        <w:fldChar w:fldCharType="separate"/>
      </w:r>
      <w:r>
        <w:rPr>
          <w:rStyle w:val="16"/>
          <w:rFonts w:hint="default" w:ascii="Times New Roman" w:hAnsi="Times New Roman" w:cs="Times New Roman"/>
          <w:sz w:val="28"/>
          <w:szCs w:val="28"/>
        </w:rPr>
        <w:t>第四章</w:t>
      </w:r>
      <w:r>
        <w:rPr>
          <w:rStyle w:val="16"/>
          <w:rFonts w:hint="default" w:ascii="Times New Roman" w:hAnsi="Times New Roman" w:cs="Times New Roman"/>
          <w:sz w:val="28"/>
          <w:szCs w:val="28"/>
          <w:lang w:val="en-US" w:eastAsia="zh-CN"/>
        </w:rPr>
        <w:t xml:space="preserve"> </w:t>
      </w:r>
      <w:r>
        <w:rPr>
          <w:rStyle w:val="16"/>
          <w:rFonts w:hint="default" w:ascii="Times New Roman" w:hAnsi="Times New Roman" w:cs="Times New Roman"/>
          <w:sz w:val="28"/>
          <w:szCs w:val="28"/>
        </w:rPr>
        <w:t>生态保护修复工程部署</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_Toc155772670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"_Toc155772671"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一、生态保护修复工程部署思路</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_Toc155772671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53</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"_Toc155772672"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二、生态保护修复目标</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_Toc155772672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55</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"_Toc155772673"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三、生态保护修复工程及进度安排</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_Toc155772673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57</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9"/>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"_Toc155772674" </w:instrText>
      </w:r>
      <w:r>
        <w:rPr>
          <w:rFonts w:hint="default" w:ascii="Times New Roman" w:hAnsi="Times New Roman" w:cs="Times New Roman"/>
          <w:sz w:val="28"/>
          <w:szCs w:val="28"/>
        </w:rPr>
        <w:fldChar w:fldCharType="separate"/>
      </w:r>
      <w:r>
        <w:rPr>
          <w:rStyle w:val="16"/>
          <w:rFonts w:hint="default" w:ascii="Times New Roman" w:hAnsi="Times New Roman" w:cs="Times New Roman"/>
          <w:sz w:val="28"/>
          <w:szCs w:val="28"/>
        </w:rPr>
        <w:t>第五章</w:t>
      </w:r>
      <w:r>
        <w:rPr>
          <w:rStyle w:val="16"/>
          <w:rFonts w:hint="default" w:ascii="Times New Roman" w:hAnsi="Times New Roman" w:cs="Times New Roman"/>
          <w:sz w:val="28"/>
          <w:szCs w:val="28"/>
          <w:lang w:val="en-US" w:eastAsia="zh-CN"/>
        </w:rPr>
        <w:t xml:space="preserve"> </w:t>
      </w:r>
      <w:r>
        <w:rPr>
          <w:rStyle w:val="16"/>
          <w:rFonts w:hint="default" w:ascii="Times New Roman" w:hAnsi="Times New Roman" w:cs="Times New Roman"/>
          <w:sz w:val="28"/>
          <w:szCs w:val="28"/>
        </w:rPr>
        <w:t>经费估算与基金管理</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_Toc155772674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90</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"_Toc155772675"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一、经费估算</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_Toc155772675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90</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"_Toc155772676"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二、基金管理</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_Toc155772676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125</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9"/>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"_Toc155772677" </w:instrText>
      </w:r>
      <w:r>
        <w:rPr>
          <w:rFonts w:hint="default" w:ascii="Times New Roman" w:hAnsi="Times New Roman" w:cs="Times New Roman"/>
          <w:sz w:val="28"/>
          <w:szCs w:val="28"/>
        </w:rPr>
        <w:fldChar w:fldCharType="separate"/>
      </w:r>
      <w:r>
        <w:rPr>
          <w:rStyle w:val="16"/>
          <w:rFonts w:hint="default" w:ascii="Times New Roman" w:hAnsi="Times New Roman" w:cs="Times New Roman"/>
          <w:sz w:val="28"/>
          <w:szCs w:val="28"/>
        </w:rPr>
        <w:t>第六章</w:t>
      </w:r>
      <w:r>
        <w:rPr>
          <w:rStyle w:val="16"/>
          <w:rFonts w:hint="default" w:ascii="Times New Roman" w:hAnsi="Times New Roman" w:cs="Times New Roman"/>
          <w:sz w:val="28"/>
          <w:szCs w:val="28"/>
          <w:lang w:val="en-US" w:eastAsia="zh-CN"/>
        </w:rPr>
        <w:t xml:space="preserve"> </w:t>
      </w:r>
      <w:r>
        <w:rPr>
          <w:rStyle w:val="16"/>
          <w:rFonts w:hint="default" w:ascii="Times New Roman" w:hAnsi="Times New Roman" w:cs="Times New Roman"/>
          <w:sz w:val="28"/>
          <w:szCs w:val="28"/>
        </w:rPr>
        <w:t>保障措施</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_Toc155772677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127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"_Toc155772678"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一、组织保障</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_Toc155772678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127</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"_Toc155772679"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二、技术保障</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_Toc155772679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127</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"_Toc155772680"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三、监管保障</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_Toc155772680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127</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"_Toc155772681"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四、适应性管理</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_Toc155772681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128</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"_Toc155772682"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五、公众参与</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_Toc155772682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128</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9"/>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"_Toc155772683" </w:instrText>
      </w:r>
      <w:r>
        <w:rPr>
          <w:rFonts w:hint="default" w:ascii="Times New Roman" w:hAnsi="Times New Roman" w:cs="Times New Roman"/>
          <w:sz w:val="28"/>
          <w:szCs w:val="28"/>
        </w:rPr>
        <w:fldChar w:fldCharType="separate"/>
      </w:r>
      <w:r>
        <w:rPr>
          <w:rStyle w:val="16"/>
          <w:rFonts w:hint="default" w:ascii="Times New Roman" w:hAnsi="Times New Roman" w:cs="Times New Roman"/>
          <w:sz w:val="28"/>
          <w:szCs w:val="28"/>
        </w:rPr>
        <w:t>第七章</w:t>
      </w:r>
      <w:r>
        <w:rPr>
          <w:rStyle w:val="16"/>
          <w:rFonts w:hint="default" w:ascii="Times New Roman" w:hAnsi="Times New Roman" w:cs="Times New Roman"/>
          <w:sz w:val="28"/>
          <w:szCs w:val="28"/>
          <w:lang w:val="en-US" w:eastAsia="zh-CN"/>
        </w:rPr>
        <w:t xml:space="preserve"> </w:t>
      </w:r>
      <w:r>
        <w:rPr>
          <w:rStyle w:val="16"/>
          <w:rFonts w:hint="default" w:ascii="Times New Roman" w:hAnsi="Times New Roman" w:cs="Times New Roman"/>
          <w:sz w:val="28"/>
          <w:szCs w:val="28"/>
        </w:rPr>
        <w:t>方案可行性分析</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_Toc155772683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129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"_Toc155772684"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一、经济可行性分析</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_Toc155772684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129</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"_Toc155772685"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二、技术可行性分析</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_Toc155772685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132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"_Toc155772686"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三、生态环境可行性分析</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_Toc155772686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133</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9"/>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"_Toc155772687" </w:instrText>
      </w:r>
      <w:r>
        <w:rPr>
          <w:rFonts w:hint="default" w:ascii="Times New Roman" w:hAnsi="Times New Roman" w:cs="Times New Roman"/>
          <w:sz w:val="28"/>
          <w:szCs w:val="28"/>
        </w:rPr>
        <w:fldChar w:fldCharType="separate"/>
      </w:r>
      <w:r>
        <w:rPr>
          <w:rStyle w:val="16"/>
          <w:rFonts w:hint="default" w:ascii="Times New Roman" w:hAnsi="Times New Roman" w:cs="Times New Roman"/>
          <w:sz w:val="28"/>
          <w:szCs w:val="28"/>
        </w:rPr>
        <w:t>第八章</w:t>
      </w:r>
      <w:r>
        <w:rPr>
          <w:rStyle w:val="16"/>
          <w:rFonts w:hint="default" w:ascii="Times New Roman" w:hAnsi="Times New Roman" w:cs="Times New Roman"/>
          <w:sz w:val="28"/>
          <w:szCs w:val="28"/>
          <w:lang w:val="en-US" w:eastAsia="zh-CN"/>
        </w:rPr>
        <w:t xml:space="preserve"> </w:t>
      </w:r>
      <w:r>
        <w:rPr>
          <w:rStyle w:val="16"/>
          <w:rFonts w:hint="default" w:ascii="Times New Roman" w:hAnsi="Times New Roman" w:cs="Times New Roman"/>
          <w:sz w:val="28"/>
          <w:szCs w:val="28"/>
        </w:rPr>
        <w:t>结论与建议</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_Toc155772687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134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"_Toc155772688"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一、结论</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_Toc155772688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134</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10"/>
        <w:tabs>
          <w:tab w:val="right" w:leader="dot" w:pos="8296"/>
        </w:tabs>
        <w:spacing w:line="360" w:lineRule="auto"/>
        <w:rPr>
          <w:rFonts w:hint="default" w:ascii="Times New Roman" w:hAnsi="Times New Roman" w:eastAsia="宋体"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"_Toc155772689" </w:instrText>
      </w:r>
      <w:r>
        <w:rPr>
          <w:rFonts w:hint="default" w:ascii="Times New Roman" w:hAnsi="Times New Roman" w:cs="Times New Roman"/>
          <w:sz w:val="28"/>
          <w:szCs w:val="28"/>
        </w:rPr>
        <w:fldChar w:fldCharType="separate"/>
      </w:r>
      <w:r>
        <w:rPr>
          <w:rStyle w:val="16"/>
          <w:rFonts w:hint="default" w:ascii="Times New Roman" w:hAnsi="Times New Roman" w:eastAsia="宋体" w:cs="Times New Roman"/>
          <w:sz w:val="28"/>
          <w:szCs w:val="28"/>
        </w:rPr>
        <w:t>二、建议</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_Toc155772689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136</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spacing w:line="360" w:lineRule="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lang w:val="zh-CN"/>
        </w:rPr>
        <w:fldChar w:fldCharType="end"/>
      </w:r>
      <w:r>
        <w:rPr>
          <w:rFonts w:hint="default" w:ascii="Times New Roman" w:hAnsi="Times New Roman" w:eastAsia="宋体" w:cs="Times New Roman"/>
          <w:b/>
          <w:bCs/>
          <w:sz w:val="28"/>
          <w:szCs w:val="28"/>
        </w:rPr>
        <w:br w:type="page"/>
      </w:r>
    </w:p>
    <w:p>
      <w:pPr>
        <w:ind w:firstLine="602"/>
        <w:jc w:val="center"/>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附 表 目 录</w:t>
      </w:r>
    </w:p>
    <w:p>
      <w:pPr>
        <w:widowControl/>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1、矿山生态问题调查表</w:t>
      </w:r>
    </w:p>
    <w:p>
      <w:pPr>
        <w:widowControl/>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2、矿山生态保护修复现状及效果一览表</w:t>
      </w:r>
    </w:p>
    <w:p>
      <w:pPr>
        <w:widowControl/>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3、矿山生态保护修复方案公众意见征求表</w:t>
      </w:r>
    </w:p>
    <w:p>
      <w:pPr>
        <w:suppressAutoHyphens/>
        <w:jc w:val="center"/>
        <w:rPr>
          <w:rFonts w:hint="default" w:ascii="Times New Roman" w:hAnsi="Times New Roman" w:eastAsia="黑体" w:cs="Times New Roman"/>
          <w:b/>
          <w:bCs/>
          <w:sz w:val="32"/>
          <w:szCs w:val="32"/>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p>
    <w:p>
      <w:pPr>
        <w:suppressAutoHyphens/>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矿山生态保护修复方案摘要表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994"/>
        <w:gridCol w:w="1287"/>
        <w:gridCol w:w="1037"/>
        <w:gridCol w:w="1037"/>
        <w:gridCol w:w="908"/>
        <w:gridCol w:w="1273"/>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830" w:type="dxa"/>
            <w:vAlign w:val="center"/>
          </w:tcPr>
          <w:p>
            <w:pPr>
              <w:keepNext w:val="0"/>
              <w:keepLines w:val="0"/>
              <w:pageBreakBefore w:val="0"/>
              <w:widowControl w:val="0"/>
              <w:suppressAutoHyphens/>
              <w:kinsoku/>
              <w:wordWrap/>
              <w:overflowPunct/>
              <w:topLinePunct w:val="0"/>
              <w:bidi w:val="0"/>
              <w:spacing w:line="0" w:lineRule="atLeas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矿山名称</w:t>
            </w:r>
          </w:p>
        </w:tc>
        <w:tc>
          <w:tcPr>
            <w:tcW w:w="7466" w:type="dxa"/>
            <w:gridSpan w:val="7"/>
            <w:vAlign w:val="center"/>
          </w:tcPr>
          <w:p>
            <w:pPr>
              <w:keepNext w:val="0"/>
              <w:keepLines w:val="0"/>
              <w:pageBreakBefore w:val="0"/>
              <w:widowControl w:val="0"/>
              <w:suppressAutoHyphens/>
              <w:kinsoku/>
              <w:wordWrap/>
              <w:overflowPunct/>
              <w:topLinePunct w:val="0"/>
              <w:bidi w:val="0"/>
              <w:spacing w:line="0"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湖南省汨罗市梅树湾矿区建筑用花岗岩矿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Align w:val="center"/>
          </w:tcPr>
          <w:p>
            <w:pPr>
              <w:keepNext w:val="0"/>
              <w:keepLines w:val="0"/>
              <w:pageBreakBefore w:val="0"/>
              <w:widowControl w:val="0"/>
              <w:suppressAutoHyphens/>
              <w:kinsoku/>
              <w:wordWrap/>
              <w:overflowPunct/>
              <w:topLinePunct w:val="0"/>
              <w:bidi w:val="0"/>
              <w:spacing w:line="0" w:lineRule="atLeas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开采</w:t>
            </w:r>
          </w:p>
          <w:p>
            <w:pPr>
              <w:keepNext w:val="0"/>
              <w:keepLines w:val="0"/>
              <w:pageBreakBefore w:val="0"/>
              <w:widowControl w:val="0"/>
              <w:suppressAutoHyphens/>
              <w:kinsoku/>
              <w:wordWrap/>
              <w:overflowPunct/>
              <w:topLinePunct w:val="0"/>
              <w:bidi w:val="0"/>
              <w:spacing w:line="0" w:lineRule="atLeas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矿种</w:t>
            </w:r>
          </w:p>
        </w:tc>
        <w:tc>
          <w:tcPr>
            <w:tcW w:w="994" w:type="dxa"/>
            <w:vAlign w:val="center"/>
          </w:tcPr>
          <w:p>
            <w:pPr>
              <w:keepNext w:val="0"/>
              <w:keepLines w:val="0"/>
              <w:pageBreakBefore w:val="0"/>
              <w:widowControl w:val="0"/>
              <w:suppressAutoHyphens/>
              <w:kinsoku/>
              <w:wordWrap/>
              <w:overflowPunct/>
              <w:topLinePunct w:val="0"/>
              <w:bidi w:val="0"/>
              <w:spacing w:line="0"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建筑用花岗岩</w:t>
            </w:r>
          </w:p>
        </w:tc>
        <w:tc>
          <w:tcPr>
            <w:tcW w:w="1287" w:type="dxa"/>
            <w:vAlign w:val="center"/>
          </w:tcPr>
          <w:p>
            <w:pPr>
              <w:keepNext w:val="0"/>
              <w:keepLines w:val="0"/>
              <w:pageBreakBefore w:val="0"/>
              <w:widowControl w:val="0"/>
              <w:suppressAutoHyphens/>
              <w:kinsoku/>
              <w:wordWrap/>
              <w:overflowPunct/>
              <w:topLinePunct w:val="0"/>
              <w:bidi w:val="0"/>
              <w:spacing w:line="0" w:lineRule="atLeas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开采方式</w:t>
            </w:r>
          </w:p>
        </w:tc>
        <w:tc>
          <w:tcPr>
            <w:tcW w:w="1037" w:type="dxa"/>
            <w:vAlign w:val="center"/>
          </w:tcPr>
          <w:p>
            <w:pPr>
              <w:keepNext w:val="0"/>
              <w:keepLines w:val="0"/>
              <w:pageBreakBefore w:val="0"/>
              <w:widowControl w:val="0"/>
              <w:suppressAutoHyphens/>
              <w:kinsoku/>
              <w:wordWrap/>
              <w:overflowPunct/>
              <w:topLinePunct w:val="0"/>
              <w:bidi w:val="0"/>
              <w:spacing w:line="0"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露天开采</w:t>
            </w:r>
          </w:p>
        </w:tc>
        <w:tc>
          <w:tcPr>
            <w:tcW w:w="1037" w:type="dxa"/>
            <w:vAlign w:val="center"/>
          </w:tcPr>
          <w:p>
            <w:pPr>
              <w:keepNext w:val="0"/>
              <w:keepLines w:val="0"/>
              <w:pageBreakBefore w:val="0"/>
              <w:widowControl w:val="0"/>
              <w:suppressAutoHyphens/>
              <w:kinsoku/>
              <w:wordWrap/>
              <w:overflowPunct/>
              <w:topLinePunct w:val="0"/>
              <w:bidi w:val="0"/>
              <w:spacing w:line="0" w:lineRule="atLeas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开采规模</w:t>
            </w:r>
          </w:p>
        </w:tc>
        <w:tc>
          <w:tcPr>
            <w:tcW w:w="908" w:type="dxa"/>
            <w:vAlign w:val="center"/>
          </w:tcPr>
          <w:p>
            <w:pPr>
              <w:keepNext w:val="0"/>
              <w:keepLines w:val="0"/>
              <w:pageBreakBefore w:val="0"/>
              <w:widowControl w:val="0"/>
              <w:suppressAutoHyphens/>
              <w:kinsoku/>
              <w:wordWrap/>
              <w:overflowPunct/>
              <w:topLinePunct w:val="0"/>
              <w:bidi w:val="0"/>
              <w:spacing w:line="0" w:lineRule="atLeast"/>
              <w:jc w:val="center"/>
              <w:rPr>
                <w:rFonts w:hint="default" w:ascii="Times New Roman" w:hAnsi="Times New Roman" w:eastAsia="宋体" w:cs="Times New Roman"/>
                <w:sz w:val="24"/>
                <w:szCs w:val="24"/>
              </w:rPr>
            </w:pPr>
            <w:r>
              <w:rPr>
                <w:rFonts w:hint="eastAsia"/>
              </w:rPr>
              <w:t>***</w:t>
            </w:r>
          </w:p>
        </w:tc>
        <w:tc>
          <w:tcPr>
            <w:tcW w:w="1273" w:type="dxa"/>
            <w:vAlign w:val="center"/>
          </w:tcPr>
          <w:p>
            <w:pPr>
              <w:keepNext w:val="0"/>
              <w:keepLines w:val="0"/>
              <w:pageBreakBefore w:val="0"/>
              <w:widowControl w:val="0"/>
              <w:suppressAutoHyphens/>
              <w:kinsoku/>
              <w:wordWrap/>
              <w:overflowPunct/>
              <w:topLinePunct w:val="0"/>
              <w:bidi w:val="0"/>
              <w:spacing w:line="0" w:lineRule="atLeas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采矿许可证期限</w:t>
            </w:r>
          </w:p>
        </w:tc>
        <w:tc>
          <w:tcPr>
            <w:tcW w:w="930" w:type="dxa"/>
            <w:vAlign w:val="center"/>
          </w:tcPr>
          <w:p>
            <w:pPr>
              <w:keepNext w:val="0"/>
              <w:keepLines w:val="0"/>
              <w:pageBreakBefore w:val="0"/>
              <w:widowControl w:val="0"/>
              <w:suppressAutoHyphens/>
              <w:kinsoku/>
              <w:wordWrap/>
              <w:overflowPunct/>
              <w:topLinePunct w:val="0"/>
              <w:bidi w:val="0"/>
              <w:spacing w:line="0"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新设矿山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824" w:type="dxa"/>
            <w:gridSpan w:val="2"/>
            <w:vAlign w:val="center"/>
          </w:tcPr>
          <w:p>
            <w:pPr>
              <w:keepNext w:val="0"/>
              <w:keepLines w:val="0"/>
              <w:pageBreakBefore w:val="0"/>
              <w:widowControl w:val="0"/>
              <w:suppressAutoHyphens/>
              <w:kinsoku/>
              <w:wordWrap/>
              <w:overflowPunct/>
              <w:topLinePunct w:val="0"/>
              <w:bidi w:val="0"/>
              <w:spacing w:line="0" w:lineRule="atLeas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生态保护修复现状及效果</w:t>
            </w:r>
          </w:p>
        </w:tc>
        <w:tc>
          <w:tcPr>
            <w:tcW w:w="6472" w:type="dxa"/>
            <w:gridSpan w:val="6"/>
            <w:vAlign w:val="center"/>
          </w:tcPr>
          <w:p>
            <w:pPr>
              <w:keepNext w:val="0"/>
              <w:keepLines w:val="0"/>
              <w:pageBreakBefore w:val="0"/>
              <w:widowControl w:val="0"/>
              <w:suppressAutoHyphens/>
              <w:kinsoku/>
              <w:wordWrap/>
              <w:overflowPunct/>
              <w:topLinePunct w:val="0"/>
              <w:bidi w:val="0"/>
              <w:spacing w:line="36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拟设采矿权为新设矿山，无现状生态保护修复工程。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824" w:type="dxa"/>
            <w:gridSpan w:val="2"/>
            <w:vAlign w:val="center"/>
          </w:tcPr>
          <w:p>
            <w:pPr>
              <w:keepNext w:val="0"/>
              <w:keepLines w:val="0"/>
              <w:pageBreakBefore w:val="0"/>
              <w:widowControl w:val="0"/>
              <w:suppressAutoHyphens/>
              <w:kinsoku/>
              <w:wordWrap/>
              <w:overflowPunct/>
              <w:topLinePunct w:val="0"/>
              <w:bidi w:val="0"/>
              <w:spacing w:line="0" w:lineRule="atLeas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矿山生态问题识别和诊断</w:t>
            </w:r>
          </w:p>
        </w:tc>
        <w:tc>
          <w:tcPr>
            <w:tcW w:w="6472" w:type="dxa"/>
            <w:gridSpan w:val="6"/>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both"/>
              <w:textAlignment w:val="baseline"/>
              <w:rPr>
                <w:rFonts w:hint="default" w:ascii="Times New Roman" w:hAnsi="Times New Roman" w:eastAsia="宋体" w:cs="Times New Roman"/>
                <w:snapToGrid w:val="0"/>
                <w:color w:val="000000"/>
                <w:spacing w:val="-4"/>
                <w:kern w:val="0"/>
                <w:sz w:val="21"/>
                <w:szCs w:val="21"/>
                <w:lang w:val="en-US" w:eastAsia="zh-CN" w:bidi="ar-SA"/>
              </w:rPr>
            </w:pPr>
            <w:r>
              <w:rPr>
                <w:rFonts w:hint="eastAsia" w:ascii="Times New Roman" w:hAnsi="Times New Roman" w:eastAsia="宋体" w:cs="Times New Roman"/>
                <w:snapToGrid w:val="0"/>
                <w:color w:val="000000"/>
                <w:spacing w:val="-4"/>
                <w:kern w:val="0"/>
                <w:sz w:val="21"/>
                <w:szCs w:val="21"/>
                <w:lang w:val="en-US" w:eastAsia="zh-CN" w:bidi="ar-SA"/>
              </w:rPr>
              <w:t>该矿山为新设矿山，无现状矿山生态问题，预测未来矿业活动产生以下矿山生态问题：</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both"/>
              <w:textAlignment w:val="baseline"/>
              <w:rPr>
                <w:rFonts w:hint="default" w:ascii="Times New Roman" w:hAnsi="Times New Roman" w:eastAsia="宋体" w:cs="Times New Roman"/>
                <w:snapToGrid w:val="0"/>
                <w:color w:val="000000"/>
                <w:spacing w:val="-4"/>
                <w:kern w:val="0"/>
                <w:sz w:val="21"/>
                <w:szCs w:val="21"/>
                <w:lang w:val="en-US" w:eastAsia="en-US" w:bidi="ar-SA"/>
              </w:rPr>
            </w:pPr>
            <w:r>
              <w:rPr>
                <w:rFonts w:hint="default" w:ascii="Times New Roman" w:hAnsi="Times New Roman" w:eastAsia="宋体" w:cs="Times New Roman"/>
                <w:snapToGrid w:val="0"/>
                <w:color w:val="000000"/>
                <w:spacing w:val="-4"/>
                <w:kern w:val="0"/>
                <w:sz w:val="21"/>
                <w:szCs w:val="21"/>
                <w:lang w:val="en-US" w:eastAsia="en-US" w:bidi="ar-SA"/>
              </w:rPr>
              <w:t>1、地形地貌景观破坏</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both"/>
              <w:textAlignment w:val="baseline"/>
              <w:rPr>
                <w:rFonts w:hint="default" w:ascii="Times New Roman" w:hAnsi="Times New Roman" w:eastAsia="宋体" w:cs="Times New Roman"/>
                <w:snapToGrid w:val="0"/>
                <w:color w:val="000000"/>
                <w:spacing w:val="-4"/>
                <w:kern w:val="0"/>
                <w:sz w:val="21"/>
                <w:szCs w:val="21"/>
                <w:lang w:val="en-US" w:eastAsia="en-US" w:bidi="ar-SA"/>
              </w:rPr>
            </w:pPr>
            <w:r>
              <w:rPr>
                <w:rFonts w:hint="default" w:ascii="Times New Roman" w:hAnsi="Times New Roman" w:eastAsia="宋体" w:cs="Times New Roman"/>
                <w:snapToGrid w:val="0"/>
                <w:color w:val="000000"/>
                <w:spacing w:val="-4"/>
                <w:kern w:val="0"/>
                <w:sz w:val="21"/>
                <w:szCs w:val="21"/>
                <w:lang w:val="en-US" w:eastAsia="en-US" w:bidi="ar-SA"/>
              </w:rPr>
              <w:t>预测工业广场地面建设、矿山公路的修建对地形地貌</w:t>
            </w:r>
            <w:r>
              <w:rPr>
                <w:rFonts w:hint="default" w:ascii="Times New Roman" w:hAnsi="Times New Roman" w:eastAsia="宋体" w:cs="Times New Roman"/>
                <w:snapToGrid w:val="0"/>
                <w:color w:val="000000"/>
                <w:spacing w:val="-4"/>
                <w:kern w:val="0"/>
                <w:sz w:val="21"/>
                <w:szCs w:val="21"/>
                <w:lang w:val="en-US" w:eastAsia="zh-CN" w:bidi="ar-SA"/>
              </w:rPr>
              <w:t>景观</w:t>
            </w:r>
            <w:r>
              <w:rPr>
                <w:rFonts w:hint="default" w:ascii="Times New Roman" w:hAnsi="Times New Roman" w:eastAsia="宋体" w:cs="Times New Roman"/>
                <w:snapToGrid w:val="0"/>
                <w:color w:val="000000"/>
                <w:spacing w:val="-4"/>
                <w:kern w:val="0"/>
                <w:sz w:val="21"/>
                <w:szCs w:val="21"/>
                <w:lang w:val="en-US" w:eastAsia="en-US" w:bidi="ar-SA"/>
              </w:rPr>
              <w:t>不会造成重大影响，但是</w:t>
            </w:r>
            <w:r>
              <w:rPr>
                <w:rFonts w:hint="eastAsia" w:ascii="Times New Roman" w:hAnsi="Times New Roman" w:eastAsia="宋体" w:cs="Times New Roman"/>
                <w:snapToGrid w:val="0"/>
                <w:color w:val="000000"/>
                <w:spacing w:val="-4"/>
                <w:kern w:val="0"/>
                <w:sz w:val="21"/>
                <w:szCs w:val="21"/>
                <w:lang w:val="en-US" w:eastAsia="zh-CN" w:bidi="ar-SA"/>
              </w:rPr>
              <w:t>露采场</w:t>
            </w:r>
            <w:r>
              <w:rPr>
                <w:rFonts w:hint="default" w:ascii="Times New Roman" w:hAnsi="Times New Roman" w:eastAsia="宋体" w:cs="Times New Roman"/>
                <w:snapToGrid w:val="0"/>
                <w:color w:val="000000"/>
                <w:spacing w:val="-4"/>
                <w:kern w:val="0"/>
                <w:sz w:val="21"/>
                <w:szCs w:val="21"/>
                <w:lang w:val="en-US" w:eastAsia="en-US" w:bidi="ar-SA"/>
              </w:rPr>
              <w:t>挖损了大面积土地、形成高陡岩边坡，排土场堆积废土石等压占了大面积土地资源，破坏了地表植被，对地形地貌及景观造成了破坏。</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both"/>
              <w:textAlignment w:val="baseline"/>
              <w:rPr>
                <w:rFonts w:hint="default" w:ascii="Times New Roman" w:hAnsi="Times New Roman" w:eastAsia="宋体" w:cs="Times New Roman"/>
                <w:snapToGrid w:val="0"/>
                <w:color w:val="000000"/>
                <w:spacing w:val="-4"/>
                <w:kern w:val="0"/>
                <w:sz w:val="21"/>
                <w:szCs w:val="21"/>
                <w:lang w:val="en-US" w:eastAsia="en-US" w:bidi="ar-SA"/>
              </w:rPr>
            </w:pPr>
            <w:r>
              <w:rPr>
                <w:rFonts w:hint="default" w:ascii="Times New Roman" w:hAnsi="Times New Roman" w:eastAsia="宋体" w:cs="Times New Roman"/>
                <w:snapToGrid w:val="0"/>
                <w:color w:val="000000"/>
                <w:spacing w:val="-4"/>
                <w:kern w:val="0"/>
                <w:sz w:val="21"/>
                <w:szCs w:val="21"/>
                <w:lang w:val="en-US" w:eastAsia="en-US" w:bidi="ar-SA"/>
              </w:rPr>
              <w:t>2、土地资源占损</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both"/>
              <w:textAlignment w:val="baseline"/>
              <w:rPr>
                <w:rFonts w:hint="default" w:ascii="Times New Roman" w:hAnsi="Times New Roman" w:eastAsia="宋体" w:cs="Times New Roman"/>
                <w:snapToGrid w:val="0"/>
                <w:color w:val="000000"/>
                <w:spacing w:val="-4"/>
                <w:kern w:val="0"/>
                <w:sz w:val="21"/>
                <w:szCs w:val="21"/>
                <w:lang w:val="en-US" w:eastAsia="en-US" w:bidi="ar-SA"/>
              </w:rPr>
            </w:pPr>
            <w:r>
              <w:rPr>
                <w:rFonts w:hint="default" w:ascii="Times New Roman" w:hAnsi="Times New Roman" w:eastAsia="宋体" w:cs="Times New Roman"/>
                <w:snapToGrid w:val="0"/>
                <w:color w:val="000000"/>
                <w:spacing w:val="-4"/>
                <w:kern w:val="0"/>
                <w:sz w:val="21"/>
                <w:szCs w:val="21"/>
                <w:lang w:val="en-US" w:eastAsia="en-US" w:bidi="ar-SA"/>
              </w:rPr>
              <w:t>预测矿业活动共占</w:t>
            </w:r>
            <w:r>
              <w:rPr>
                <w:rFonts w:hint="eastAsia" w:ascii="Times New Roman" w:hAnsi="Times New Roman" w:eastAsia="宋体" w:cs="Times New Roman"/>
                <w:snapToGrid w:val="0"/>
                <w:color w:val="000000"/>
                <w:spacing w:val="-4"/>
                <w:kern w:val="0"/>
                <w:sz w:val="21"/>
                <w:szCs w:val="21"/>
                <w:lang w:val="en-US" w:eastAsia="zh-CN" w:bidi="ar-SA"/>
              </w:rPr>
              <w:t>用土地***公顷，拟损毁</w:t>
            </w:r>
            <w:r>
              <w:rPr>
                <w:rFonts w:hint="default" w:ascii="Times New Roman" w:hAnsi="Times New Roman" w:eastAsia="宋体" w:cs="Times New Roman"/>
                <w:snapToGrid w:val="0"/>
                <w:color w:val="000000"/>
                <w:spacing w:val="-4"/>
                <w:kern w:val="0"/>
                <w:sz w:val="21"/>
                <w:szCs w:val="21"/>
                <w:lang w:val="en-US" w:eastAsia="en-US" w:bidi="ar-SA"/>
              </w:rPr>
              <w:t>土地资源</w:t>
            </w:r>
            <w:r>
              <w:rPr>
                <w:rFonts w:hint="eastAsia" w:ascii="Times New Roman" w:hAnsi="Times New Roman" w:eastAsia="宋体" w:cs="Times New Roman"/>
                <w:snapToGrid w:val="0"/>
                <w:color w:val="000000"/>
                <w:spacing w:val="-4"/>
                <w:kern w:val="0"/>
                <w:sz w:val="21"/>
                <w:szCs w:val="21"/>
                <w:lang w:val="en-US" w:eastAsia="zh-CN" w:bidi="ar-SA"/>
              </w:rPr>
              <w:t>***</w:t>
            </w:r>
            <w:r>
              <w:rPr>
                <w:rFonts w:hint="default" w:ascii="Times New Roman" w:hAnsi="Times New Roman" w:eastAsia="宋体" w:cs="Times New Roman"/>
                <w:snapToGrid w:val="0"/>
                <w:color w:val="000000"/>
                <w:spacing w:val="-4"/>
                <w:kern w:val="0"/>
                <w:sz w:val="21"/>
                <w:szCs w:val="21"/>
                <w:lang w:val="en-US" w:eastAsia="en-US" w:bidi="ar-SA"/>
              </w:rPr>
              <w:t>公顷，</w:t>
            </w:r>
            <w:r>
              <w:rPr>
                <w:rFonts w:hint="default" w:ascii="Times New Roman" w:hAnsi="Times New Roman" w:eastAsia="宋体" w:cs="Times New Roman"/>
                <w:snapToGrid w:val="0"/>
                <w:color w:val="000000"/>
                <w:spacing w:val="-4"/>
                <w:kern w:val="0"/>
                <w:sz w:val="21"/>
                <w:szCs w:val="21"/>
                <w:lang w:val="en-US" w:eastAsia="zh-CN" w:bidi="ar-SA"/>
              </w:rPr>
              <w:t>主要为林地；其中</w:t>
            </w:r>
            <w:r>
              <w:rPr>
                <w:rFonts w:hint="eastAsia" w:ascii="Times New Roman" w:hAnsi="Times New Roman" w:eastAsia="宋体" w:cs="Times New Roman"/>
                <w:snapToGrid w:val="0"/>
                <w:color w:val="000000"/>
                <w:spacing w:val="-4"/>
                <w:kern w:val="0"/>
                <w:sz w:val="21"/>
                <w:szCs w:val="21"/>
                <w:lang w:val="en-US" w:eastAsia="zh-CN" w:bidi="ar-SA"/>
              </w:rPr>
              <w:t>露采场</w:t>
            </w:r>
            <w:r>
              <w:rPr>
                <w:rFonts w:hint="default" w:ascii="Times New Roman" w:hAnsi="Times New Roman" w:eastAsia="宋体" w:cs="Times New Roman"/>
                <w:snapToGrid w:val="0"/>
                <w:color w:val="000000"/>
                <w:spacing w:val="-4"/>
                <w:kern w:val="0"/>
                <w:sz w:val="21"/>
                <w:szCs w:val="21"/>
                <w:lang w:val="en-US" w:eastAsia="zh-CN" w:bidi="ar-SA"/>
              </w:rPr>
              <w:t>损毁面积***公顷、工业广场损毁面积***公顷、拟建矿山道路损毁面积***公顷、排土场损毁面积</w:t>
            </w:r>
            <w:r>
              <w:rPr>
                <w:rFonts w:hint="eastAsia" w:ascii="Times New Roman" w:hAnsi="Times New Roman" w:eastAsia="宋体" w:cs="Times New Roman"/>
                <w:snapToGrid w:val="0"/>
                <w:color w:val="000000"/>
                <w:spacing w:val="-4"/>
                <w:kern w:val="0"/>
                <w:sz w:val="21"/>
                <w:szCs w:val="21"/>
                <w:lang w:val="en-US" w:eastAsia="zh-CN" w:bidi="ar-SA"/>
              </w:rPr>
              <w:t>***</w:t>
            </w:r>
            <w:r>
              <w:rPr>
                <w:rFonts w:hint="default" w:ascii="Times New Roman" w:hAnsi="Times New Roman" w:eastAsia="宋体" w:cs="Times New Roman"/>
                <w:snapToGrid w:val="0"/>
                <w:color w:val="000000"/>
                <w:spacing w:val="-4"/>
                <w:kern w:val="0"/>
                <w:sz w:val="21"/>
                <w:szCs w:val="21"/>
                <w:lang w:val="en-US" w:eastAsia="zh-CN" w:bidi="ar-SA"/>
              </w:rPr>
              <w:t>公顷</w:t>
            </w:r>
            <w:r>
              <w:rPr>
                <w:rFonts w:hint="default" w:ascii="Times New Roman" w:hAnsi="Times New Roman" w:eastAsia="宋体" w:cs="Times New Roman"/>
                <w:snapToGrid w:val="0"/>
                <w:color w:val="000000"/>
                <w:spacing w:val="-4"/>
                <w:kern w:val="0"/>
                <w:sz w:val="21"/>
                <w:szCs w:val="21"/>
                <w:lang w:val="en-US" w:eastAsia="en-US" w:bidi="ar-SA"/>
              </w:rPr>
              <w:t>。</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both"/>
              <w:textAlignment w:val="baseline"/>
              <w:rPr>
                <w:rFonts w:hint="default" w:ascii="Times New Roman" w:hAnsi="Times New Roman" w:eastAsia="宋体" w:cs="Times New Roman"/>
                <w:snapToGrid w:val="0"/>
                <w:color w:val="000000"/>
                <w:spacing w:val="-4"/>
                <w:kern w:val="0"/>
                <w:sz w:val="21"/>
                <w:szCs w:val="21"/>
                <w:lang w:val="en-US" w:eastAsia="en-US" w:bidi="ar-SA"/>
              </w:rPr>
            </w:pPr>
            <w:r>
              <w:rPr>
                <w:rFonts w:hint="default" w:ascii="Times New Roman" w:hAnsi="Times New Roman" w:eastAsia="宋体" w:cs="Times New Roman"/>
                <w:snapToGrid w:val="0"/>
                <w:color w:val="000000"/>
                <w:spacing w:val="-4"/>
                <w:kern w:val="0"/>
                <w:sz w:val="21"/>
                <w:szCs w:val="21"/>
                <w:lang w:val="en-US" w:eastAsia="en-US" w:bidi="ar-SA"/>
              </w:rPr>
              <w:t>3、水资源水环境影响</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both"/>
              <w:textAlignment w:val="baseline"/>
              <w:rPr>
                <w:rFonts w:hint="default" w:ascii="Times New Roman" w:hAnsi="Times New Roman" w:eastAsia="宋体" w:cs="Times New Roman"/>
                <w:snapToGrid w:val="0"/>
                <w:color w:val="000000"/>
                <w:spacing w:val="-4"/>
                <w:kern w:val="0"/>
                <w:sz w:val="21"/>
                <w:szCs w:val="21"/>
                <w:lang w:val="en-US" w:eastAsia="en-US" w:bidi="ar-SA"/>
              </w:rPr>
            </w:pPr>
            <w:r>
              <w:rPr>
                <w:rFonts w:hint="default" w:ascii="Times New Roman" w:hAnsi="Times New Roman" w:eastAsia="宋体" w:cs="Times New Roman"/>
                <w:snapToGrid w:val="0"/>
                <w:color w:val="000000"/>
                <w:spacing w:val="-4"/>
                <w:kern w:val="0"/>
                <w:sz w:val="21"/>
                <w:szCs w:val="21"/>
                <w:lang w:val="en-US" w:eastAsia="en-US" w:bidi="ar-SA"/>
              </w:rPr>
              <w:t>矿山开采灰岩矿体不含有毒有害物质，对周边环境基本无污染，未来矿山开采建设活动对水资源水生态影响小。</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both"/>
              <w:textAlignment w:val="baseline"/>
              <w:rPr>
                <w:rFonts w:hint="default" w:ascii="Times New Roman" w:hAnsi="Times New Roman" w:eastAsia="宋体" w:cs="Times New Roman"/>
                <w:snapToGrid w:val="0"/>
                <w:color w:val="000000"/>
                <w:spacing w:val="-4"/>
                <w:kern w:val="0"/>
                <w:sz w:val="21"/>
                <w:szCs w:val="21"/>
                <w:lang w:val="en-US" w:eastAsia="en-US" w:bidi="ar-SA"/>
              </w:rPr>
            </w:pPr>
            <w:r>
              <w:rPr>
                <w:rFonts w:hint="default" w:ascii="Times New Roman" w:hAnsi="Times New Roman" w:eastAsia="宋体" w:cs="Times New Roman"/>
                <w:snapToGrid w:val="0"/>
                <w:color w:val="000000"/>
                <w:spacing w:val="-4"/>
                <w:kern w:val="0"/>
                <w:sz w:val="21"/>
                <w:szCs w:val="21"/>
                <w:lang w:val="en-US" w:eastAsia="en-US" w:bidi="ar-SA"/>
              </w:rPr>
              <w:t>4、矿山地质灾害影响</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both"/>
              <w:textAlignment w:val="baseline"/>
              <w:rPr>
                <w:rFonts w:hint="default" w:ascii="Times New Roman" w:hAnsi="Times New Roman" w:eastAsia="宋体" w:cs="Times New Roman"/>
                <w:snapToGrid w:val="0"/>
                <w:color w:val="000000"/>
                <w:spacing w:val="-4"/>
                <w:kern w:val="0"/>
                <w:sz w:val="21"/>
                <w:szCs w:val="21"/>
                <w:lang w:val="en-US" w:eastAsia="en-US" w:bidi="ar-SA"/>
              </w:rPr>
            </w:pPr>
            <w:r>
              <w:rPr>
                <w:rFonts w:hint="default" w:ascii="Times New Roman" w:hAnsi="Times New Roman" w:eastAsia="宋体" w:cs="Times New Roman"/>
                <w:snapToGrid w:val="0"/>
                <w:color w:val="000000"/>
                <w:spacing w:val="-4"/>
                <w:kern w:val="0"/>
                <w:sz w:val="21"/>
                <w:szCs w:val="21"/>
                <w:lang w:val="en-US" w:eastAsia="en-US" w:bidi="ar-SA"/>
              </w:rPr>
              <w:t>预测分析未来采矿形成的终采坡面较陡，且高差较大，受爆破作业的影响，采坑上部容易形成孤石和松动岩土体可能会发生崩塌、滑坡等地质灾害。</w:t>
            </w:r>
            <w:r>
              <w:rPr>
                <w:rFonts w:hint="eastAsia" w:ascii="Times New Roman" w:hAnsi="Times New Roman" w:eastAsia="宋体" w:cs="Times New Roman"/>
                <w:snapToGrid w:val="0"/>
                <w:color w:val="000000"/>
                <w:spacing w:val="-4"/>
                <w:kern w:val="0"/>
                <w:sz w:val="21"/>
                <w:szCs w:val="21"/>
                <w:lang w:val="en-US" w:eastAsia="zh-CN" w:bidi="ar-SA"/>
              </w:rPr>
              <w:t>预测未来矿业活动引发</w:t>
            </w:r>
            <w:r>
              <w:rPr>
                <w:rFonts w:hint="default" w:ascii="Times New Roman" w:hAnsi="Times New Roman" w:eastAsia="宋体" w:cs="Times New Roman"/>
                <w:snapToGrid w:val="0"/>
                <w:color w:val="000000"/>
                <w:spacing w:val="-4"/>
                <w:kern w:val="0"/>
                <w:sz w:val="21"/>
                <w:szCs w:val="21"/>
                <w:lang w:val="en-US" w:eastAsia="en-US" w:bidi="ar-SA"/>
              </w:rPr>
              <w:t>崩塌、滑坡等地质灾害</w:t>
            </w:r>
            <w:r>
              <w:rPr>
                <w:rFonts w:hint="eastAsia" w:ascii="Times New Roman" w:hAnsi="Times New Roman" w:eastAsia="宋体" w:cs="Times New Roman"/>
                <w:snapToGrid w:val="0"/>
                <w:color w:val="000000"/>
                <w:spacing w:val="-4"/>
                <w:kern w:val="0"/>
                <w:sz w:val="21"/>
                <w:szCs w:val="21"/>
                <w:lang w:val="en-US" w:eastAsia="zh-CN" w:bidi="ar-SA"/>
              </w:rPr>
              <w:t>的可能性中等，</w:t>
            </w:r>
            <w:r>
              <w:rPr>
                <w:rFonts w:hint="default" w:ascii="Times New Roman" w:hAnsi="Times New Roman" w:eastAsia="宋体" w:cs="Times New Roman"/>
                <w:snapToGrid w:val="0"/>
                <w:color w:val="000000"/>
                <w:spacing w:val="-4"/>
                <w:kern w:val="0"/>
                <w:sz w:val="21"/>
                <w:szCs w:val="21"/>
                <w:lang w:val="en-US" w:eastAsia="en-US" w:bidi="ar-SA"/>
              </w:rPr>
              <w:t>引发泥石流的可能性小。</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both"/>
              <w:textAlignment w:val="baseline"/>
              <w:rPr>
                <w:rFonts w:hint="default" w:ascii="Times New Roman" w:hAnsi="Times New Roman" w:eastAsia="宋体" w:cs="Times New Roman"/>
                <w:snapToGrid w:val="0"/>
                <w:color w:val="000000"/>
                <w:spacing w:val="-4"/>
                <w:kern w:val="0"/>
                <w:sz w:val="21"/>
                <w:szCs w:val="21"/>
                <w:lang w:val="en-US" w:eastAsia="en-US" w:bidi="ar-SA"/>
              </w:rPr>
            </w:pPr>
            <w:r>
              <w:rPr>
                <w:rFonts w:hint="default" w:ascii="Times New Roman" w:hAnsi="Times New Roman" w:eastAsia="宋体" w:cs="Times New Roman"/>
                <w:snapToGrid w:val="0"/>
                <w:color w:val="000000"/>
                <w:spacing w:val="-4"/>
                <w:kern w:val="0"/>
                <w:sz w:val="21"/>
                <w:szCs w:val="21"/>
                <w:lang w:val="en-US" w:eastAsia="en-US" w:bidi="ar-SA"/>
              </w:rPr>
              <w:t>5、生物多样性破坏</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both"/>
              <w:textAlignment w:val="baseline"/>
              <w:rPr>
                <w:rFonts w:hint="default" w:ascii="Times New Roman" w:hAnsi="Times New Roman" w:eastAsia="宋体" w:cs="Times New Roman"/>
                <w:snapToGrid w:val="0"/>
                <w:color w:val="000000"/>
                <w:spacing w:val="-4"/>
                <w:kern w:val="0"/>
                <w:sz w:val="21"/>
                <w:szCs w:val="21"/>
                <w:lang w:val="en-US" w:eastAsia="en-US" w:bidi="ar-SA"/>
              </w:rPr>
            </w:pPr>
            <w:r>
              <w:rPr>
                <w:rFonts w:hint="default" w:ascii="Times New Roman" w:hAnsi="Times New Roman" w:eastAsia="宋体" w:cs="Times New Roman"/>
                <w:snapToGrid w:val="0"/>
                <w:color w:val="000000"/>
                <w:spacing w:val="-4"/>
                <w:kern w:val="0"/>
                <w:sz w:val="21"/>
                <w:szCs w:val="21"/>
                <w:lang w:val="en-US" w:eastAsia="en-US" w:bidi="ar-SA"/>
              </w:rPr>
              <w:t>未来矿业活动占损土地对矿区植被造成一定的破坏，但对生物多样性不会产生破坏。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4" w:type="dxa"/>
            <w:gridSpan w:val="2"/>
            <w:vAlign w:val="center"/>
          </w:tcPr>
          <w:p>
            <w:pPr>
              <w:keepNext w:val="0"/>
              <w:keepLines w:val="0"/>
              <w:pageBreakBefore w:val="0"/>
              <w:widowControl w:val="0"/>
              <w:suppressAutoHyphens/>
              <w:kinsoku/>
              <w:wordWrap/>
              <w:overflowPunct/>
              <w:topLinePunct w:val="0"/>
              <w:bidi w:val="0"/>
              <w:spacing w:line="0" w:lineRule="atLeas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生态保护修复工程</w:t>
            </w:r>
          </w:p>
        </w:tc>
        <w:tc>
          <w:tcPr>
            <w:tcW w:w="6472" w:type="dxa"/>
            <w:gridSpan w:val="6"/>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8" w:firstLineChars="200"/>
              <w:jc w:val="left"/>
              <w:textAlignment w:val="baseline"/>
              <w:rPr>
                <w:rFonts w:hint="default" w:ascii="Times New Roman" w:hAnsi="Times New Roman" w:eastAsia="宋体" w:cs="Times New Roman"/>
                <w:snapToGrid w:val="0"/>
                <w:color w:val="000000"/>
                <w:kern w:val="0"/>
                <w:sz w:val="21"/>
                <w:szCs w:val="21"/>
                <w:lang w:val="en-US" w:eastAsia="en-US" w:bidi="ar-SA"/>
              </w:rPr>
            </w:pPr>
            <w:r>
              <w:rPr>
                <w:rFonts w:hint="default" w:ascii="Times New Roman" w:hAnsi="Times New Roman" w:eastAsia="宋体" w:cs="Times New Roman"/>
                <w:snapToGrid w:val="0"/>
                <w:color w:val="000000"/>
                <w:spacing w:val="-3"/>
                <w:kern w:val="0"/>
                <w:sz w:val="21"/>
                <w:szCs w:val="21"/>
                <w:lang w:val="en-US" w:eastAsia="en-US" w:bidi="ar-SA"/>
              </w:rPr>
              <w:t>1、生态保护</w:t>
            </w:r>
            <w:r>
              <w:rPr>
                <w:rFonts w:hint="default" w:ascii="Times New Roman" w:hAnsi="Times New Roman" w:eastAsia="宋体" w:cs="Times New Roman"/>
                <w:snapToGrid w:val="0"/>
                <w:color w:val="000000"/>
                <w:spacing w:val="-3"/>
                <w:kern w:val="0"/>
                <w:sz w:val="21"/>
                <w:szCs w:val="21"/>
                <w:lang w:val="en-US" w:eastAsia="zh-CN" w:bidi="ar-SA"/>
              </w:rPr>
              <w:t>保育</w:t>
            </w:r>
            <w:r>
              <w:rPr>
                <w:rFonts w:hint="default" w:ascii="Times New Roman" w:hAnsi="Times New Roman" w:eastAsia="宋体" w:cs="Times New Roman"/>
                <w:snapToGrid w:val="0"/>
                <w:color w:val="000000"/>
                <w:spacing w:val="-3"/>
                <w:kern w:val="0"/>
                <w:sz w:val="21"/>
                <w:szCs w:val="21"/>
                <w:lang w:val="en-US" w:eastAsia="en-US" w:bidi="ar-SA"/>
              </w:rPr>
              <w:t>工程</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both"/>
              <w:textAlignment w:val="baseline"/>
              <w:rPr>
                <w:rFonts w:hint="default" w:ascii="Times New Roman" w:hAnsi="Times New Roman" w:eastAsia="宋体" w:cs="Times New Roman"/>
                <w:snapToGrid w:val="0"/>
                <w:color w:val="000000"/>
                <w:spacing w:val="-4"/>
                <w:kern w:val="0"/>
                <w:sz w:val="21"/>
                <w:szCs w:val="21"/>
                <w:lang w:val="en-US" w:eastAsia="en-US" w:bidi="ar-SA"/>
              </w:rPr>
            </w:pPr>
            <w:r>
              <w:rPr>
                <w:rFonts w:hint="default" w:ascii="Times New Roman" w:hAnsi="Times New Roman" w:eastAsia="宋体" w:cs="Times New Roman"/>
                <w:snapToGrid w:val="0"/>
                <w:color w:val="000000"/>
                <w:spacing w:val="-4"/>
                <w:kern w:val="0"/>
                <w:sz w:val="21"/>
                <w:szCs w:val="21"/>
                <w:lang w:val="en-US" w:eastAsia="en-US" w:bidi="ar-SA"/>
              </w:rPr>
              <w:t>积极宣传生物多样性保护政策法规，设立宣传警示牌。</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16" w:firstLineChars="200"/>
              <w:jc w:val="left"/>
              <w:textAlignment w:val="baseline"/>
              <w:rPr>
                <w:rFonts w:hint="default" w:ascii="Times New Roman" w:hAnsi="Times New Roman" w:eastAsia="宋体" w:cs="Times New Roman"/>
                <w:snapToGrid w:val="0"/>
                <w:color w:val="000000"/>
                <w:kern w:val="0"/>
                <w:sz w:val="21"/>
                <w:szCs w:val="21"/>
                <w:lang w:val="en-US" w:eastAsia="en-US" w:bidi="ar-SA"/>
              </w:rPr>
            </w:pPr>
            <w:r>
              <w:rPr>
                <w:rFonts w:hint="default" w:ascii="Times New Roman" w:hAnsi="Times New Roman" w:eastAsia="宋体" w:cs="Times New Roman"/>
                <w:snapToGrid w:val="0"/>
                <w:color w:val="000000"/>
                <w:spacing w:val="-1"/>
                <w:kern w:val="0"/>
                <w:sz w:val="21"/>
                <w:szCs w:val="21"/>
                <w:lang w:val="en-US" w:eastAsia="en-US" w:bidi="ar-SA"/>
              </w:rPr>
              <w:t>2、生态修复工程</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12" w:firstLineChars="200"/>
              <w:jc w:val="left"/>
              <w:textAlignment w:val="baseline"/>
              <w:rPr>
                <w:rFonts w:hint="default" w:ascii="Times New Roman" w:hAnsi="Times New Roman" w:eastAsia="宋体" w:cs="Times New Roman"/>
                <w:snapToGrid w:val="0"/>
                <w:color w:val="000000"/>
                <w:kern w:val="0"/>
                <w:sz w:val="21"/>
                <w:szCs w:val="21"/>
                <w:lang w:val="en-US" w:eastAsia="en-US" w:bidi="ar-SA"/>
              </w:rPr>
            </w:pPr>
            <w:r>
              <w:rPr>
                <w:rFonts w:hint="default" w:ascii="Times New Roman" w:hAnsi="Times New Roman" w:eastAsia="宋体" w:cs="Times New Roman"/>
                <w:snapToGrid w:val="0"/>
                <w:color w:val="000000"/>
                <w:spacing w:val="-2"/>
                <w:kern w:val="0"/>
                <w:sz w:val="21"/>
                <w:szCs w:val="21"/>
                <w:lang w:val="en-US" w:eastAsia="en-US" w:bidi="ar-SA"/>
              </w:rPr>
              <w:t>（1）土地复垦工程</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396" w:firstLineChars="200"/>
              <w:jc w:val="both"/>
              <w:textAlignment w:val="baseline"/>
              <w:rPr>
                <w:rFonts w:hint="default" w:ascii="Times New Roman" w:hAnsi="Times New Roman" w:eastAsia="宋体" w:cs="Times New Roman"/>
                <w:snapToGrid w:val="0"/>
                <w:color w:val="000000"/>
                <w:kern w:val="0"/>
                <w:sz w:val="21"/>
                <w:szCs w:val="21"/>
                <w:lang w:val="en-US" w:eastAsia="en-US" w:bidi="ar-SA"/>
              </w:rPr>
            </w:pPr>
            <w:r>
              <w:rPr>
                <w:rFonts w:hint="default" w:ascii="Times New Roman" w:hAnsi="Times New Roman" w:eastAsia="宋体" w:cs="Times New Roman"/>
                <w:snapToGrid w:val="0"/>
                <w:color w:val="000000"/>
                <w:spacing w:val="-6"/>
                <w:kern w:val="0"/>
                <w:sz w:val="21"/>
                <w:szCs w:val="21"/>
                <w:lang w:val="en-US" w:eastAsia="en-US" w:bidi="ar-SA"/>
              </w:rPr>
              <w:t>矿山公路保留</w:t>
            </w:r>
            <w:r>
              <w:rPr>
                <w:rFonts w:hint="eastAsia" w:ascii="Times New Roman" w:hAnsi="Times New Roman" w:eastAsia="宋体" w:cs="Times New Roman"/>
                <w:snapToGrid w:val="0"/>
                <w:color w:val="000000"/>
                <w:spacing w:val="-6"/>
                <w:kern w:val="0"/>
                <w:sz w:val="21"/>
                <w:szCs w:val="21"/>
                <w:lang w:val="en-US" w:eastAsia="zh-CN" w:bidi="ar-SA"/>
              </w:rPr>
              <w:t>作为农村道路和防火通道使用，露采场、</w:t>
            </w:r>
            <w:r>
              <w:rPr>
                <w:rFonts w:hint="default" w:ascii="Times New Roman" w:hAnsi="Times New Roman" w:eastAsia="宋体" w:cs="Times New Roman"/>
                <w:snapToGrid w:val="0"/>
                <w:color w:val="000000"/>
                <w:spacing w:val="-4"/>
                <w:kern w:val="0"/>
                <w:sz w:val="21"/>
                <w:szCs w:val="21"/>
                <w:lang w:val="en-US" w:eastAsia="zh-CN" w:bidi="ar-SA"/>
              </w:rPr>
              <w:t>工业广场及排土场</w:t>
            </w:r>
            <w:r>
              <w:rPr>
                <w:rFonts w:hint="default" w:ascii="Times New Roman" w:hAnsi="Times New Roman" w:eastAsia="宋体" w:cs="Times New Roman"/>
                <w:snapToGrid w:val="0"/>
                <w:color w:val="000000"/>
                <w:spacing w:val="-4"/>
                <w:kern w:val="0"/>
                <w:sz w:val="21"/>
                <w:szCs w:val="21"/>
                <w:lang w:val="en-US" w:eastAsia="en-US" w:bidi="ar-SA"/>
              </w:rPr>
              <w:t>复垦为林地</w:t>
            </w:r>
            <w:r>
              <w:rPr>
                <w:rFonts w:hint="eastAsia" w:ascii="Times New Roman" w:hAnsi="Times New Roman" w:eastAsia="宋体" w:cs="Times New Roman"/>
                <w:snapToGrid w:val="0"/>
                <w:color w:val="000000"/>
                <w:spacing w:val="-4"/>
                <w:kern w:val="0"/>
                <w:sz w:val="21"/>
                <w:szCs w:val="21"/>
                <w:lang w:val="en-US" w:eastAsia="zh-CN" w:bidi="ar-SA"/>
              </w:rPr>
              <w:t>。露采场</w:t>
            </w:r>
            <w:r>
              <w:rPr>
                <w:rFonts w:hint="default" w:ascii="Times New Roman" w:hAnsi="Times New Roman" w:eastAsia="宋体" w:cs="Times New Roman"/>
                <w:snapToGrid w:val="0"/>
                <w:color w:val="000000"/>
                <w:spacing w:val="-1"/>
                <w:kern w:val="0"/>
                <w:sz w:val="21"/>
                <w:szCs w:val="21"/>
                <w:lang w:val="en-US" w:eastAsia="zh-CN" w:bidi="ar-SA"/>
              </w:rPr>
              <w:t>开采台阶种植灌木，</w:t>
            </w:r>
            <w:r>
              <w:rPr>
                <w:rFonts w:hint="eastAsia" w:ascii="Times New Roman" w:hAnsi="Times New Roman" w:eastAsia="宋体" w:cs="Times New Roman"/>
                <w:snapToGrid w:val="0"/>
                <w:color w:val="000000"/>
                <w:spacing w:val="-1"/>
                <w:kern w:val="0"/>
                <w:sz w:val="21"/>
                <w:szCs w:val="21"/>
                <w:lang w:val="en-US" w:eastAsia="zh-CN" w:bidi="ar-SA"/>
              </w:rPr>
              <w:t>边缘</w:t>
            </w:r>
            <w:r>
              <w:rPr>
                <w:rFonts w:hint="default" w:ascii="Times New Roman" w:hAnsi="Times New Roman" w:eastAsia="宋体" w:cs="Times New Roman"/>
                <w:snapToGrid w:val="0"/>
                <w:color w:val="000000"/>
                <w:spacing w:val="-1"/>
                <w:kern w:val="0"/>
                <w:sz w:val="21"/>
                <w:szCs w:val="21"/>
                <w:lang w:val="en-US" w:eastAsia="en-US" w:bidi="ar-SA"/>
              </w:rPr>
              <w:t>种植爬藤</w:t>
            </w:r>
            <w:r>
              <w:rPr>
                <w:rFonts w:hint="default" w:ascii="Times New Roman" w:hAnsi="Times New Roman" w:eastAsia="宋体" w:cs="Times New Roman"/>
                <w:snapToGrid w:val="0"/>
                <w:color w:val="000000"/>
                <w:spacing w:val="-1"/>
                <w:kern w:val="0"/>
                <w:sz w:val="21"/>
                <w:szCs w:val="21"/>
                <w:lang w:val="en-US" w:eastAsia="zh-CN" w:bidi="ar-SA"/>
              </w:rPr>
              <w:t>植物；</w:t>
            </w:r>
            <w:r>
              <w:rPr>
                <w:rFonts w:hint="eastAsia" w:ascii="Times New Roman" w:hAnsi="Times New Roman" w:eastAsia="宋体" w:cs="Times New Roman"/>
                <w:snapToGrid w:val="0"/>
                <w:color w:val="000000"/>
                <w:spacing w:val="-1"/>
                <w:kern w:val="0"/>
                <w:sz w:val="21"/>
                <w:szCs w:val="21"/>
                <w:lang w:val="en-US" w:eastAsia="zh-CN" w:bidi="ar-SA"/>
              </w:rPr>
              <w:t>露采场终了平台、工业广场及排土场</w:t>
            </w:r>
            <w:r>
              <w:rPr>
                <w:rFonts w:hint="default" w:ascii="Times New Roman" w:hAnsi="Times New Roman" w:eastAsia="宋体" w:cs="Times New Roman"/>
                <w:snapToGrid w:val="0"/>
                <w:color w:val="000000"/>
                <w:spacing w:val="-1"/>
                <w:kern w:val="0"/>
                <w:sz w:val="21"/>
                <w:szCs w:val="21"/>
                <w:lang w:val="en-US" w:eastAsia="zh-CN" w:bidi="ar-SA"/>
              </w:rPr>
              <w:t>乔灌草结合复垦为林地</w:t>
            </w:r>
            <w:r>
              <w:rPr>
                <w:rFonts w:hint="default" w:ascii="Times New Roman" w:hAnsi="Times New Roman" w:eastAsia="宋体" w:cs="Times New Roman"/>
                <w:snapToGrid w:val="0"/>
                <w:color w:val="000000"/>
                <w:spacing w:val="-2"/>
                <w:kern w:val="0"/>
                <w:sz w:val="21"/>
                <w:szCs w:val="21"/>
                <w:lang w:val="en-US" w:eastAsia="en-US" w:bidi="ar-SA"/>
              </w:rPr>
              <w:t>。</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16" w:firstLineChars="200"/>
              <w:jc w:val="left"/>
              <w:textAlignment w:val="baseline"/>
              <w:rPr>
                <w:rFonts w:hint="default" w:ascii="Times New Roman" w:hAnsi="Times New Roman" w:eastAsia="宋体" w:cs="Times New Roman"/>
                <w:snapToGrid w:val="0"/>
                <w:color w:val="000000"/>
                <w:kern w:val="0"/>
                <w:sz w:val="21"/>
                <w:szCs w:val="21"/>
                <w:lang w:val="en-US" w:eastAsia="en-US" w:bidi="ar-SA"/>
              </w:rPr>
            </w:pPr>
            <w:r>
              <w:rPr>
                <w:rFonts w:hint="default" w:ascii="Times New Roman" w:hAnsi="Times New Roman" w:eastAsia="宋体" w:cs="Times New Roman"/>
                <w:snapToGrid w:val="0"/>
                <w:color w:val="000000"/>
                <w:spacing w:val="-1"/>
                <w:kern w:val="0"/>
                <w:sz w:val="21"/>
                <w:szCs w:val="21"/>
                <w:lang w:val="en-US" w:eastAsia="en-US" w:bidi="ar-SA"/>
              </w:rPr>
              <w:t>（</w:t>
            </w:r>
            <w:r>
              <w:rPr>
                <w:rFonts w:hint="default" w:ascii="Times New Roman" w:hAnsi="Times New Roman" w:eastAsia="宋体" w:cs="Times New Roman"/>
                <w:snapToGrid w:val="0"/>
                <w:color w:val="000000"/>
                <w:spacing w:val="-1"/>
                <w:kern w:val="0"/>
                <w:sz w:val="21"/>
                <w:szCs w:val="21"/>
                <w:lang w:val="en-US" w:eastAsia="zh-CN" w:bidi="ar-SA"/>
              </w:rPr>
              <w:t>2</w:t>
            </w:r>
            <w:r>
              <w:rPr>
                <w:rFonts w:hint="default" w:ascii="Times New Roman" w:hAnsi="Times New Roman" w:eastAsia="宋体" w:cs="Times New Roman"/>
                <w:snapToGrid w:val="0"/>
                <w:color w:val="000000"/>
                <w:spacing w:val="-1"/>
                <w:kern w:val="0"/>
                <w:sz w:val="21"/>
                <w:szCs w:val="21"/>
                <w:lang w:val="en-US" w:eastAsia="en-US" w:bidi="ar-SA"/>
              </w:rPr>
              <w:t>）水资源水生态修复工程</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both"/>
              <w:textAlignment w:val="baseline"/>
              <w:rPr>
                <w:rFonts w:hint="default" w:ascii="Times New Roman" w:hAnsi="Times New Roman" w:eastAsia="宋体" w:cs="Times New Roman"/>
                <w:snapToGrid w:val="0"/>
                <w:color w:val="000000"/>
                <w:spacing w:val="-4"/>
                <w:kern w:val="0"/>
                <w:sz w:val="21"/>
                <w:szCs w:val="21"/>
                <w:lang w:val="en-US" w:eastAsia="zh-CN" w:bidi="ar-SA"/>
              </w:rPr>
            </w:pPr>
            <w:r>
              <w:rPr>
                <w:rFonts w:hint="default" w:ascii="Times New Roman" w:hAnsi="Times New Roman" w:eastAsia="宋体" w:cs="Times New Roman"/>
                <w:snapToGrid w:val="0"/>
                <w:color w:val="000000"/>
                <w:spacing w:val="-4"/>
                <w:kern w:val="0"/>
                <w:sz w:val="21"/>
                <w:szCs w:val="21"/>
                <w:lang w:val="en-US" w:eastAsia="en-US" w:bidi="ar-SA"/>
              </w:rPr>
              <w:t>在</w:t>
            </w:r>
            <w:r>
              <w:rPr>
                <w:rFonts w:hint="default" w:ascii="Times New Roman" w:hAnsi="Times New Roman" w:eastAsia="宋体" w:cs="Times New Roman"/>
                <w:snapToGrid w:val="0"/>
                <w:color w:val="000000"/>
                <w:spacing w:val="-4"/>
                <w:kern w:val="0"/>
                <w:sz w:val="21"/>
                <w:szCs w:val="21"/>
                <w:lang w:val="en-US" w:eastAsia="zh-CN" w:bidi="ar-SA"/>
              </w:rPr>
              <w:t>露采场、工业广场及</w:t>
            </w:r>
            <w:r>
              <w:rPr>
                <w:rFonts w:hint="default" w:ascii="Times New Roman" w:hAnsi="Times New Roman" w:eastAsia="宋体" w:cs="Times New Roman"/>
                <w:snapToGrid w:val="0"/>
                <w:color w:val="000000"/>
                <w:spacing w:val="-4"/>
                <w:kern w:val="0"/>
                <w:sz w:val="21"/>
                <w:szCs w:val="21"/>
                <w:lang w:val="en-US" w:eastAsia="en-US" w:bidi="ar-SA"/>
              </w:rPr>
              <w:t>排土场外围</w:t>
            </w:r>
            <w:r>
              <w:rPr>
                <w:rFonts w:hint="default" w:ascii="Times New Roman" w:hAnsi="Times New Roman" w:eastAsia="宋体" w:cs="Times New Roman"/>
                <w:snapToGrid w:val="0"/>
                <w:color w:val="000000"/>
                <w:spacing w:val="-4"/>
                <w:kern w:val="0"/>
                <w:sz w:val="21"/>
                <w:szCs w:val="21"/>
                <w:lang w:val="en-US" w:eastAsia="zh-CN" w:bidi="ar-SA"/>
              </w:rPr>
              <w:t>分别修建</w:t>
            </w:r>
            <w:r>
              <w:rPr>
                <w:rFonts w:hint="default" w:ascii="Times New Roman" w:hAnsi="Times New Roman" w:eastAsia="宋体" w:cs="Times New Roman"/>
                <w:snapToGrid w:val="0"/>
                <w:color w:val="000000"/>
                <w:spacing w:val="-4"/>
                <w:kern w:val="0"/>
                <w:sz w:val="21"/>
                <w:szCs w:val="21"/>
                <w:lang w:val="en-US" w:eastAsia="en-US" w:bidi="ar-SA"/>
              </w:rPr>
              <w:t>沉淀池。</w:t>
            </w:r>
            <w:r>
              <w:rPr>
                <w:rFonts w:hint="default" w:ascii="Times New Roman" w:hAnsi="Times New Roman" w:eastAsia="宋体" w:cs="Times New Roman"/>
                <w:snapToGrid w:val="0"/>
                <w:color w:val="000000"/>
                <w:spacing w:val="-4"/>
                <w:kern w:val="0"/>
                <w:sz w:val="21"/>
                <w:szCs w:val="21"/>
                <w:lang w:val="en-US" w:eastAsia="zh-CN" w:bidi="ar-SA"/>
              </w:rPr>
              <w:t>在露采场周围、矿山道路上坡面一侧、排土场周围和终了平台周围修建截水沟。</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16" w:firstLineChars="200"/>
              <w:jc w:val="left"/>
              <w:textAlignment w:val="baseline"/>
              <w:rPr>
                <w:rFonts w:hint="default" w:ascii="Times New Roman" w:hAnsi="Times New Roman" w:eastAsia="宋体" w:cs="Times New Roman"/>
                <w:snapToGrid w:val="0"/>
                <w:color w:val="000000"/>
                <w:kern w:val="0"/>
                <w:sz w:val="21"/>
                <w:szCs w:val="21"/>
                <w:lang w:val="en-US" w:eastAsia="en-US" w:bidi="ar-SA"/>
              </w:rPr>
            </w:pPr>
            <w:r>
              <w:rPr>
                <w:rFonts w:hint="default" w:ascii="Times New Roman" w:hAnsi="Times New Roman" w:eastAsia="宋体" w:cs="Times New Roman"/>
                <w:snapToGrid w:val="0"/>
                <w:color w:val="000000"/>
                <w:spacing w:val="-1"/>
                <w:kern w:val="0"/>
                <w:sz w:val="21"/>
                <w:szCs w:val="21"/>
                <w:lang w:val="en-US" w:eastAsia="en-US" w:bidi="ar-SA"/>
              </w:rPr>
              <w:t>（</w:t>
            </w:r>
            <w:r>
              <w:rPr>
                <w:rFonts w:hint="default" w:ascii="Times New Roman" w:hAnsi="Times New Roman" w:eastAsia="宋体" w:cs="Times New Roman"/>
                <w:snapToGrid w:val="0"/>
                <w:color w:val="000000"/>
                <w:spacing w:val="-1"/>
                <w:kern w:val="0"/>
                <w:sz w:val="21"/>
                <w:szCs w:val="21"/>
                <w:lang w:val="en-US" w:eastAsia="zh-CN" w:bidi="ar-SA"/>
              </w:rPr>
              <w:t>3</w:t>
            </w:r>
            <w:r>
              <w:rPr>
                <w:rFonts w:hint="default" w:ascii="Times New Roman" w:hAnsi="Times New Roman" w:eastAsia="宋体" w:cs="Times New Roman"/>
                <w:snapToGrid w:val="0"/>
                <w:color w:val="000000"/>
                <w:spacing w:val="-1"/>
                <w:kern w:val="0"/>
                <w:sz w:val="21"/>
                <w:szCs w:val="21"/>
                <w:lang w:val="en-US" w:eastAsia="en-US" w:bidi="ar-SA"/>
              </w:rPr>
              <w:t>）地质灾害防治工程</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both"/>
              <w:textAlignment w:val="baseline"/>
              <w:rPr>
                <w:rFonts w:hint="default" w:ascii="Times New Roman" w:hAnsi="Times New Roman" w:eastAsia="宋体" w:cs="Times New Roman"/>
                <w:snapToGrid w:val="0"/>
                <w:color w:val="000000"/>
                <w:spacing w:val="-4"/>
                <w:kern w:val="0"/>
                <w:sz w:val="21"/>
                <w:szCs w:val="21"/>
                <w:lang w:val="en-US" w:eastAsia="zh-CN" w:bidi="ar-SA"/>
              </w:rPr>
            </w:pPr>
            <w:r>
              <w:rPr>
                <w:rFonts w:hint="default" w:ascii="Times New Roman" w:hAnsi="Times New Roman" w:eastAsia="宋体" w:cs="Times New Roman"/>
                <w:snapToGrid w:val="0"/>
                <w:color w:val="000000"/>
                <w:spacing w:val="-4"/>
                <w:kern w:val="0"/>
                <w:sz w:val="21"/>
                <w:szCs w:val="21"/>
                <w:lang w:val="en-US" w:eastAsia="zh-CN" w:bidi="ar-SA"/>
              </w:rPr>
              <w:t>在排土场的前缘修建挡土墙工程；</w:t>
            </w:r>
            <w:r>
              <w:rPr>
                <w:rFonts w:hint="eastAsia" w:ascii="Times New Roman" w:hAnsi="Times New Roman" w:eastAsia="宋体" w:cs="Times New Roman"/>
                <w:snapToGrid w:val="0"/>
                <w:color w:val="000000"/>
                <w:spacing w:val="-4"/>
                <w:kern w:val="0"/>
                <w:sz w:val="21"/>
                <w:szCs w:val="21"/>
                <w:lang w:val="en-US" w:eastAsia="zh-CN" w:bidi="ar-SA"/>
              </w:rPr>
              <w:t>预留费用作为露采场和排土场边坡地质灾害防治</w:t>
            </w:r>
            <w:r>
              <w:rPr>
                <w:rFonts w:hint="default" w:ascii="Times New Roman" w:hAnsi="Times New Roman" w:eastAsia="宋体" w:cs="Times New Roman"/>
                <w:snapToGrid w:val="0"/>
                <w:color w:val="000000"/>
                <w:spacing w:val="-4"/>
                <w:kern w:val="0"/>
                <w:sz w:val="21"/>
                <w:szCs w:val="21"/>
                <w:lang w:val="en-US" w:eastAsia="zh-CN" w:bidi="ar-SA"/>
              </w:rPr>
              <w:t>。在露采场和沉淀池周围设置防护围栏和安全警示牌。</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12" w:firstLineChars="200"/>
              <w:jc w:val="left"/>
              <w:textAlignment w:val="baseline"/>
              <w:rPr>
                <w:rFonts w:hint="default" w:ascii="Times New Roman" w:hAnsi="Times New Roman" w:eastAsia="宋体" w:cs="Times New Roman"/>
                <w:snapToGrid w:val="0"/>
                <w:color w:val="000000"/>
                <w:kern w:val="0"/>
                <w:sz w:val="21"/>
                <w:szCs w:val="21"/>
                <w:lang w:val="en-US" w:eastAsia="en-US" w:bidi="ar-SA"/>
              </w:rPr>
            </w:pPr>
            <w:r>
              <w:rPr>
                <w:rFonts w:hint="default" w:ascii="Times New Roman" w:hAnsi="Times New Roman" w:eastAsia="宋体" w:cs="Times New Roman"/>
                <w:snapToGrid w:val="0"/>
                <w:color w:val="000000"/>
                <w:spacing w:val="-2"/>
                <w:kern w:val="0"/>
                <w:sz w:val="21"/>
                <w:szCs w:val="21"/>
                <w:lang w:val="en-US" w:eastAsia="en-US" w:bidi="ar-SA"/>
              </w:rPr>
              <w:t>3、监测和管护工程</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right="26" w:firstLine="424" w:firstLineChars="200"/>
              <w:jc w:val="both"/>
              <w:textAlignment w:val="baseline"/>
              <w:rPr>
                <w:rFonts w:hint="default" w:ascii="Times New Roman" w:hAnsi="Times New Roman" w:eastAsia="宋体" w:cs="Times New Roman"/>
                <w:snapToGrid w:val="0"/>
                <w:color w:val="000000"/>
                <w:kern w:val="0"/>
                <w:sz w:val="21"/>
                <w:szCs w:val="21"/>
                <w:lang w:val="en-US" w:eastAsia="en-US" w:bidi="ar-SA"/>
              </w:rPr>
            </w:pPr>
            <w:r>
              <w:rPr>
                <w:rFonts w:hint="default" w:ascii="Times New Roman" w:hAnsi="Times New Roman" w:eastAsia="宋体" w:cs="Times New Roman"/>
                <w:snapToGrid w:val="0"/>
                <w:color w:val="000000"/>
                <w:spacing w:val="1"/>
                <w:kern w:val="0"/>
                <w:sz w:val="21"/>
                <w:szCs w:val="21"/>
                <w:lang w:val="en-US" w:eastAsia="en-US" w:bidi="ar-SA"/>
              </w:rPr>
              <w:t>（1）地质灾害监测：对露采场</w:t>
            </w:r>
            <w:r>
              <w:rPr>
                <w:rFonts w:hint="default" w:ascii="Times New Roman" w:hAnsi="Times New Roman" w:eastAsia="宋体" w:cs="Times New Roman"/>
                <w:snapToGrid w:val="0"/>
                <w:color w:val="000000"/>
                <w:spacing w:val="1"/>
                <w:kern w:val="0"/>
                <w:sz w:val="21"/>
                <w:szCs w:val="21"/>
                <w:lang w:val="en-US" w:eastAsia="zh-CN" w:bidi="ar-SA"/>
              </w:rPr>
              <w:t>边坡</w:t>
            </w:r>
            <w:r>
              <w:rPr>
                <w:rFonts w:hint="default" w:ascii="Times New Roman" w:hAnsi="Times New Roman" w:eastAsia="宋体" w:cs="Times New Roman"/>
                <w:snapToGrid w:val="0"/>
                <w:color w:val="000000"/>
                <w:spacing w:val="1"/>
                <w:kern w:val="0"/>
                <w:sz w:val="21"/>
                <w:szCs w:val="21"/>
                <w:lang w:val="en-US" w:eastAsia="en-US" w:bidi="ar-SA"/>
              </w:rPr>
              <w:t>、</w:t>
            </w:r>
            <w:r>
              <w:rPr>
                <w:rFonts w:hint="default" w:ascii="Times New Roman" w:hAnsi="Times New Roman" w:eastAsia="宋体" w:cs="Times New Roman"/>
                <w:snapToGrid w:val="0"/>
                <w:color w:val="000000"/>
                <w:kern w:val="0"/>
                <w:sz w:val="21"/>
                <w:szCs w:val="21"/>
                <w:lang w:val="en-US" w:eastAsia="en-US" w:bidi="ar-SA"/>
              </w:rPr>
              <w:t>排土场边坡开展变</w:t>
            </w:r>
            <w:r>
              <w:rPr>
                <w:rFonts w:hint="default" w:ascii="Times New Roman" w:hAnsi="Times New Roman" w:eastAsia="宋体" w:cs="Times New Roman"/>
                <w:snapToGrid w:val="0"/>
                <w:color w:val="000000"/>
                <w:spacing w:val="-1"/>
                <w:kern w:val="0"/>
                <w:sz w:val="21"/>
                <w:szCs w:val="21"/>
                <w:lang w:val="en-US" w:eastAsia="en-US" w:bidi="ar-SA"/>
              </w:rPr>
              <w:t>形监测工作，至</w:t>
            </w:r>
            <w:r>
              <w:rPr>
                <w:rFonts w:hint="eastAsia" w:ascii="Times New Roman" w:hAnsi="Times New Roman" w:eastAsia="宋体" w:cs="Times New Roman"/>
                <w:snapToGrid w:val="0"/>
                <w:color w:val="000000"/>
                <w:spacing w:val="-1"/>
                <w:kern w:val="0"/>
                <w:sz w:val="21"/>
                <w:szCs w:val="21"/>
                <w:lang w:val="en-US" w:eastAsia="zh-CN" w:bidi="ar-SA"/>
              </w:rPr>
              <w:t>修复工程竣工后一</w:t>
            </w:r>
            <w:r>
              <w:rPr>
                <w:rFonts w:hint="default" w:ascii="Times New Roman" w:hAnsi="Times New Roman" w:eastAsia="宋体" w:cs="Times New Roman"/>
                <w:snapToGrid w:val="0"/>
                <w:color w:val="000000"/>
                <w:spacing w:val="-1"/>
                <w:kern w:val="0"/>
                <w:sz w:val="21"/>
                <w:szCs w:val="21"/>
                <w:lang w:val="en-US" w:eastAsia="en-US" w:bidi="ar-SA"/>
              </w:rPr>
              <w:t>年。</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right="16" w:firstLine="424" w:firstLineChars="200"/>
              <w:jc w:val="both"/>
              <w:textAlignment w:val="baseline"/>
              <w:rPr>
                <w:rFonts w:hint="default" w:ascii="Times New Roman" w:hAnsi="Times New Roman" w:eastAsia="宋体" w:cs="Times New Roman"/>
                <w:snapToGrid w:val="0"/>
                <w:color w:val="000000"/>
                <w:kern w:val="0"/>
                <w:sz w:val="21"/>
                <w:szCs w:val="21"/>
                <w:lang w:val="en-US" w:eastAsia="en-US" w:bidi="ar-SA"/>
              </w:rPr>
            </w:pPr>
            <w:r>
              <w:rPr>
                <w:rFonts w:hint="default" w:ascii="Times New Roman" w:hAnsi="Times New Roman" w:eastAsia="宋体" w:cs="Times New Roman"/>
                <w:snapToGrid w:val="0"/>
                <w:color w:val="000000"/>
                <w:spacing w:val="1"/>
                <w:kern w:val="0"/>
                <w:sz w:val="21"/>
                <w:szCs w:val="21"/>
                <w:lang w:val="en-US" w:eastAsia="en-US" w:bidi="ar-SA"/>
              </w:rPr>
              <w:t>（2）水质监测：</w:t>
            </w:r>
            <w:r>
              <w:rPr>
                <w:rFonts w:hint="default" w:ascii="Times New Roman" w:hAnsi="Times New Roman" w:eastAsia="宋体" w:cs="Times New Roman"/>
                <w:snapToGrid w:val="0"/>
                <w:color w:val="000000"/>
                <w:spacing w:val="1"/>
                <w:kern w:val="0"/>
                <w:sz w:val="21"/>
                <w:szCs w:val="21"/>
                <w:lang w:val="en-US" w:eastAsia="zh-CN" w:bidi="ar-SA"/>
              </w:rPr>
              <w:t>对露采场、工业广场和排土场三处</w:t>
            </w:r>
            <w:r>
              <w:rPr>
                <w:rFonts w:hint="default" w:ascii="Times New Roman" w:hAnsi="Times New Roman" w:eastAsia="宋体" w:cs="Times New Roman"/>
                <w:snapToGrid w:val="0"/>
                <w:color w:val="000000"/>
                <w:spacing w:val="1"/>
                <w:kern w:val="0"/>
                <w:sz w:val="21"/>
                <w:szCs w:val="21"/>
                <w:lang w:val="en-US" w:eastAsia="en-US" w:bidi="ar-SA"/>
              </w:rPr>
              <w:t>沉淀</w:t>
            </w:r>
            <w:r>
              <w:rPr>
                <w:rFonts w:hint="default" w:ascii="Times New Roman" w:hAnsi="Times New Roman" w:eastAsia="宋体" w:cs="Times New Roman"/>
                <w:snapToGrid w:val="0"/>
                <w:color w:val="000000"/>
                <w:kern w:val="0"/>
                <w:sz w:val="21"/>
                <w:szCs w:val="21"/>
                <w:lang w:val="en-US" w:eastAsia="en-US" w:bidi="ar-SA"/>
              </w:rPr>
              <w:t>池处各设置一处监测点，监测水质，每三月开展一次</w:t>
            </w:r>
            <w:r>
              <w:rPr>
                <w:rFonts w:hint="default" w:ascii="Times New Roman" w:hAnsi="Times New Roman" w:eastAsia="宋体" w:cs="Times New Roman"/>
                <w:snapToGrid w:val="0"/>
                <w:color w:val="000000"/>
                <w:spacing w:val="-8"/>
                <w:kern w:val="0"/>
                <w:sz w:val="21"/>
                <w:szCs w:val="21"/>
                <w:lang w:val="en-US" w:eastAsia="en-US" w:bidi="ar-SA"/>
              </w:rPr>
              <w:t>。</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right="16" w:firstLine="424" w:firstLineChars="200"/>
              <w:jc w:val="both"/>
              <w:textAlignment w:val="baseline"/>
              <w:rPr>
                <w:rFonts w:hint="default" w:ascii="Times New Roman" w:hAnsi="Times New Roman" w:eastAsia="宋体" w:cs="Times New Roman"/>
                <w:snapToGrid w:val="0"/>
                <w:color w:val="000000"/>
                <w:spacing w:val="-1"/>
                <w:kern w:val="0"/>
                <w:sz w:val="21"/>
                <w:szCs w:val="21"/>
                <w:lang w:val="en-US" w:eastAsia="en-US" w:bidi="ar-SA"/>
              </w:rPr>
            </w:pPr>
            <w:r>
              <w:rPr>
                <w:rFonts w:hint="default" w:ascii="Times New Roman" w:hAnsi="Times New Roman" w:eastAsia="宋体" w:cs="Times New Roman"/>
                <w:snapToGrid w:val="0"/>
                <w:color w:val="000000"/>
                <w:spacing w:val="1"/>
                <w:kern w:val="0"/>
                <w:sz w:val="21"/>
                <w:szCs w:val="21"/>
                <w:lang w:val="en-US" w:eastAsia="en-US" w:bidi="ar-SA"/>
              </w:rPr>
              <w:t>（3）</w:t>
            </w:r>
            <w:r>
              <w:rPr>
                <w:rFonts w:hint="default" w:ascii="Times New Roman" w:hAnsi="Times New Roman" w:eastAsia="宋体" w:cs="Times New Roman"/>
                <w:snapToGrid w:val="0"/>
                <w:color w:val="000000"/>
                <w:spacing w:val="-4"/>
                <w:kern w:val="0"/>
                <w:sz w:val="21"/>
                <w:szCs w:val="21"/>
                <w:lang w:val="en-US" w:eastAsia="en-US" w:bidi="ar-SA"/>
              </w:rPr>
              <w:t>土壤监测：</w:t>
            </w:r>
            <w:r>
              <w:rPr>
                <w:rFonts w:hint="eastAsia" w:ascii="Times New Roman" w:hAnsi="Times New Roman" w:eastAsia="宋体" w:cs="Times New Roman"/>
                <w:snapToGrid w:val="0"/>
                <w:color w:val="000000"/>
                <w:spacing w:val="-4"/>
                <w:kern w:val="0"/>
                <w:sz w:val="21"/>
                <w:szCs w:val="21"/>
                <w:lang w:val="en-US" w:eastAsia="zh-CN" w:bidi="ar-SA"/>
              </w:rPr>
              <w:t>在</w:t>
            </w:r>
            <w:r>
              <w:rPr>
                <w:rFonts w:hint="default" w:ascii="Times New Roman" w:hAnsi="Times New Roman" w:eastAsia="宋体" w:cs="Times New Roman"/>
                <w:snapToGrid w:val="0"/>
                <w:color w:val="000000"/>
                <w:spacing w:val="-4"/>
                <w:kern w:val="0"/>
                <w:sz w:val="21"/>
                <w:szCs w:val="21"/>
                <w:lang w:val="en-US" w:eastAsia="en-US" w:bidi="ar-SA"/>
              </w:rPr>
              <w:t>沉淀池下游的耕地中</w:t>
            </w:r>
            <w:r>
              <w:rPr>
                <w:rFonts w:hint="eastAsia" w:ascii="Times New Roman" w:hAnsi="Times New Roman" w:eastAsia="宋体" w:cs="Times New Roman"/>
                <w:snapToGrid w:val="0"/>
                <w:color w:val="000000"/>
                <w:spacing w:val="-4"/>
                <w:kern w:val="0"/>
                <w:sz w:val="21"/>
                <w:szCs w:val="21"/>
                <w:lang w:val="en-US" w:eastAsia="zh-CN" w:bidi="ar-SA"/>
              </w:rPr>
              <w:t>各</w:t>
            </w:r>
            <w:r>
              <w:rPr>
                <w:rFonts w:hint="default" w:ascii="Times New Roman" w:hAnsi="Times New Roman" w:eastAsia="宋体" w:cs="Times New Roman"/>
                <w:snapToGrid w:val="0"/>
                <w:color w:val="000000"/>
                <w:spacing w:val="-4"/>
                <w:kern w:val="0"/>
                <w:sz w:val="21"/>
                <w:szCs w:val="21"/>
                <w:lang w:val="en-US" w:eastAsia="en-US" w:bidi="ar-SA"/>
              </w:rPr>
              <w:t>设监测点</w:t>
            </w:r>
            <w:r>
              <w:rPr>
                <w:rFonts w:hint="eastAsia" w:ascii="Times New Roman" w:hAnsi="Times New Roman" w:eastAsia="宋体" w:cs="Times New Roman"/>
                <w:snapToGrid w:val="0"/>
                <w:color w:val="000000"/>
                <w:spacing w:val="-4"/>
                <w:kern w:val="0"/>
                <w:sz w:val="21"/>
                <w:szCs w:val="21"/>
                <w:lang w:val="en-US" w:eastAsia="zh-CN" w:bidi="ar-SA"/>
              </w:rPr>
              <w:t>1</w:t>
            </w:r>
            <w:r>
              <w:rPr>
                <w:rFonts w:hint="default" w:ascii="Times New Roman" w:hAnsi="Times New Roman" w:eastAsia="宋体" w:cs="Times New Roman"/>
                <w:snapToGrid w:val="0"/>
                <w:color w:val="000000"/>
                <w:spacing w:val="-4"/>
                <w:kern w:val="0"/>
                <w:sz w:val="21"/>
                <w:szCs w:val="21"/>
                <w:lang w:val="en-US" w:eastAsia="en-US" w:bidi="ar-SA"/>
              </w:rPr>
              <w:t>处，主要监</w:t>
            </w:r>
            <w:r>
              <w:rPr>
                <w:rFonts w:hint="default" w:ascii="Times New Roman" w:hAnsi="Times New Roman" w:eastAsia="宋体" w:cs="Times New Roman"/>
                <w:snapToGrid w:val="0"/>
                <w:color w:val="000000"/>
                <w:kern w:val="0"/>
                <w:sz w:val="21"/>
                <w:szCs w:val="21"/>
                <w:lang w:val="en-US" w:eastAsia="en-US" w:bidi="ar-SA"/>
              </w:rPr>
              <w:t>测土壤环境质量变化情况。每年开展一次</w:t>
            </w:r>
            <w:r>
              <w:rPr>
                <w:rFonts w:hint="eastAsia" w:ascii="Times New Roman" w:hAnsi="Times New Roman" w:eastAsia="宋体" w:cs="Times New Roman"/>
                <w:snapToGrid w:val="0"/>
                <w:color w:val="000000"/>
                <w:kern w:val="0"/>
                <w:sz w:val="21"/>
                <w:szCs w:val="21"/>
                <w:lang w:val="en-US" w:eastAsia="zh-CN" w:bidi="ar-SA"/>
              </w:rPr>
              <w:t>/点</w:t>
            </w:r>
            <w:r>
              <w:rPr>
                <w:rFonts w:hint="default" w:ascii="Times New Roman" w:hAnsi="Times New Roman" w:eastAsia="宋体" w:cs="Times New Roman"/>
                <w:snapToGrid w:val="0"/>
                <w:color w:val="000000"/>
                <w:spacing w:val="-1"/>
                <w:kern w:val="0"/>
                <w:sz w:val="21"/>
                <w:szCs w:val="21"/>
                <w:lang w:val="en-US" w:eastAsia="en-US" w:bidi="ar-SA"/>
              </w:rPr>
              <w:t>。</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right="16" w:firstLine="416" w:firstLineChars="200"/>
              <w:jc w:val="both"/>
              <w:textAlignment w:val="baseline"/>
              <w:rPr>
                <w:rFonts w:hint="default" w:ascii="Times New Roman" w:hAnsi="Times New Roman" w:eastAsia="宋体" w:cs="Times New Roman"/>
                <w:snapToGrid w:val="0"/>
                <w:color w:val="000000"/>
                <w:spacing w:val="-1"/>
                <w:kern w:val="0"/>
                <w:sz w:val="21"/>
                <w:szCs w:val="21"/>
                <w:lang w:val="en-US" w:eastAsia="zh-CN" w:bidi="ar-SA"/>
              </w:rPr>
            </w:pPr>
            <w:r>
              <w:rPr>
                <w:rFonts w:hint="default" w:ascii="Times New Roman" w:hAnsi="Times New Roman" w:eastAsia="宋体" w:cs="Times New Roman"/>
                <w:snapToGrid w:val="0"/>
                <w:color w:val="000000"/>
                <w:spacing w:val="-1"/>
                <w:kern w:val="0"/>
                <w:sz w:val="21"/>
                <w:szCs w:val="21"/>
                <w:lang w:val="en-US" w:eastAsia="zh-CN" w:bidi="ar-SA"/>
              </w:rPr>
              <w:t>（4）植被巡查：针对整个生态修复区范围内的植被进行监测</w:t>
            </w:r>
            <w:r>
              <w:rPr>
                <w:rFonts w:hint="eastAsia" w:ascii="Times New Roman" w:hAnsi="Times New Roman" w:eastAsia="宋体" w:cs="Times New Roman"/>
                <w:snapToGrid w:val="0"/>
                <w:color w:val="000000"/>
                <w:spacing w:val="-1"/>
                <w:kern w:val="0"/>
                <w:sz w:val="21"/>
                <w:szCs w:val="21"/>
                <w:lang w:val="en-US" w:eastAsia="zh-CN" w:bidi="ar-SA"/>
              </w:rPr>
              <w:t>，</w:t>
            </w:r>
            <w:r>
              <w:rPr>
                <w:rFonts w:hint="default" w:ascii="Times New Roman" w:hAnsi="Times New Roman" w:eastAsia="宋体" w:cs="Times New Roman"/>
                <w:snapToGrid w:val="0"/>
                <w:color w:val="000000"/>
                <w:spacing w:val="-1"/>
                <w:kern w:val="0"/>
                <w:sz w:val="21"/>
                <w:szCs w:val="21"/>
                <w:lang w:val="en-US" w:eastAsia="zh-CN" w:bidi="ar-SA"/>
              </w:rPr>
              <w:t>1年一次。</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0" w:firstLine="424" w:firstLineChars="20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val="0"/>
                <w:color w:val="000000"/>
                <w:spacing w:val="1"/>
                <w:kern w:val="0"/>
                <w:sz w:val="21"/>
                <w:szCs w:val="21"/>
                <w:lang w:val="en-US" w:eastAsia="en-US" w:bidi="ar-SA"/>
              </w:rPr>
              <w:t>（</w:t>
            </w:r>
            <w:r>
              <w:rPr>
                <w:rFonts w:hint="default" w:ascii="Times New Roman" w:hAnsi="Times New Roman" w:eastAsia="宋体" w:cs="Times New Roman"/>
                <w:snapToGrid w:val="0"/>
                <w:color w:val="000000"/>
                <w:spacing w:val="1"/>
                <w:kern w:val="0"/>
                <w:sz w:val="21"/>
                <w:szCs w:val="21"/>
                <w:lang w:val="en-US" w:eastAsia="zh-CN" w:bidi="ar-SA"/>
              </w:rPr>
              <w:t>5</w:t>
            </w:r>
            <w:r>
              <w:rPr>
                <w:rFonts w:hint="default" w:ascii="Times New Roman" w:hAnsi="Times New Roman" w:eastAsia="宋体" w:cs="Times New Roman"/>
                <w:snapToGrid w:val="0"/>
                <w:color w:val="000000"/>
                <w:spacing w:val="1"/>
                <w:kern w:val="0"/>
                <w:sz w:val="21"/>
                <w:szCs w:val="21"/>
                <w:lang w:val="en-US" w:eastAsia="en-US" w:bidi="ar-SA"/>
              </w:rPr>
              <w:t>）管护工程：对复垦林地开展为期3年的管护与培育。</w:t>
            </w:r>
            <w:r>
              <w:rPr>
                <w:rFonts w:hint="default" w:ascii="Times New Roman" w:hAnsi="Times New Roman" w:eastAsia="宋体" w:cs="Times New Roman"/>
                <w:snapToGrid w:val="0"/>
                <w:color w:val="000000"/>
                <w:spacing w:val="1"/>
                <w:kern w:val="0"/>
                <w:sz w:val="21"/>
                <w:szCs w:val="21"/>
                <w:lang w:val="en-US" w:eastAsia="zh-CN" w:bidi="ar-SA"/>
              </w:rPr>
              <w:t>对截水沟、沉淀池等设施进行定期巡查和清淤。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1824" w:type="dxa"/>
            <w:gridSpan w:val="2"/>
            <w:vAlign w:val="center"/>
          </w:tcPr>
          <w:p>
            <w:pPr>
              <w:keepNext w:val="0"/>
              <w:keepLines w:val="0"/>
              <w:pageBreakBefore w:val="0"/>
              <w:widowControl w:val="0"/>
              <w:suppressAutoHyphens/>
              <w:kinsoku/>
              <w:wordWrap/>
              <w:overflowPunct/>
              <w:topLinePunct w:val="0"/>
              <w:bidi w:val="0"/>
              <w:spacing w:line="0" w:lineRule="atLeas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进度安排</w:t>
            </w:r>
          </w:p>
        </w:tc>
        <w:tc>
          <w:tcPr>
            <w:tcW w:w="6472" w:type="dxa"/>
            <w:gridSpan w:val="6"/>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left"/>
              <w:textAlignment w:val="baseline"/>
              <w:rPr>
                <w:rFonts w:hint="default" w:ascii="Times New Roman" w:hAnsi="Times New Roman" w:eastAsia="宋体" w:cs="Times New Roman"/>
                <w:snapToGrid w:val="0"/>
                <w:color w:val="000000"/>
                <w:spacing w:val="-4"/>
                <w:kern w:val="0"/>
                <w:sz w:val="21"/>
                <w:szCs w:val="21"/>
                <w:lang w:val="en-US" w:eastAsia="en-US" w:bidi="ar-SA"/>
              </w:rPr>
            </w:pPr>
            <w:r>
              <w:rPr>
                <w:rFonts w:hint="default" w:ascii="Times New Roman" w:hAnsi="Times New Roman" w:eastAsia="宋体" w:cs="Times New Roman"/>
                <w:snapToGrid w:val="0"/>
                <w:color w:val="000000"/>
                <w:spacing w:val="-4"/>
                <w:kern w:val="0"/>
                <w:sz w:val="21"/>
                <w:szCs w:val="21"/>
                <w:lang w:val="en-US" w:eastAsia="en-US" w:bidi="ar-SA"/>
              </w:rPr>
              <w:t>本方案的适用年限为</w:t>
            </w:r>
            <w:r>
              <w:rPr>
                <w:rFonts w:hint="default" w:ascii="Times New Roman" w:hAnsi="Times New Roman" w:eastAsia="宋体" w:cs="Times New Roman"/>
                <w:snapToGrid w:val="0"/>
                <w:color w:val="000000"/>
                <w:spacing w:val="-4"/>
                <w:kern w:val="0"/>
                <w:sz w:val="21"/>
                <w:szCs w:val="21"/>
                <w:lang w:val="en-US" w:eastAsia="zh-CN" w:bidi="ar-SA"/>
              </w:rPr>
              <w:t>***</w:t>
            </w:r>
            <w:r>
              <w:rPr>
                <w:rFonts w:hint="default" w:ascii="Times New Roman" w:hAnsi="Times New Roman" w:eastAsia="宋体" w:cs="Times New Roman"/>
                <w:snapToGrid w:val="0"/>
                <w:color w:val="000000"/>
                <w:spacing w:val="-4"/>
                <w:kern w:val="0"/>
                <w:sz w:val="21"/>
                <w:szCs w:val="21"/>
                <w:lang w:val="en-US" w:eastAsia="en-US" w:bidi="ar-SA"/>
              </w:rPr>
              <w:t>年（即2024年</w:t>
            </w:r>
            <w:r>
              <w:rPr>
                <w:rFonts w:hint="default" w:ascii="Times New Roman" w:hAnsi="Times New Roman" w:eastAsia="宋体" w:cs="Times New Roman"/>
                <w:snapToGrid w:val="0"/>
                <w:color w:val="000000"/>
                <w:spacing w:val="-4"/>
                <w:kern w:val="0"/>
                <w:sz w:val="21"/>
                <w:szCs w:val="21"/>
                <w:lang w:val="en-US" w:eastAsia="zh-CN" w:bidi="ar-SA"/>
              </w:rPr>
              <w:t>7</w:t>
            </w:r>
            <w:r>
              <w:rPr>
                <w:rFonts w:hint="default" w:ascii="Times New Roman" w:hAnsi="Times New Roman" w:eastAsia="宋体" w:cs="Times New Roman"/>
                <w:snapToGrid w:val="0"/>
                <w:color w:val="000000"/>
                <w:spacing w:val="-4"/>
                <w:kern w:val="0"/>
                <w:sz w:val="21"/>
                <w:szCs w:val="21"/>
                <w:lang w:val="en-US" w:eastAsia="en-US" w:bidi="ar-SA"/>
              </w:rPr>
              <w:t>月-203</w:t>
            </w:r>
            <w:r>
              <w:rPr>
                <w:rFonts w:hint="default" w:ascii="Times New Roman" w:hAnsi="Times New Roman" w:eastAsia="宋体" w:cs="Times New Roman"/>
                <w:snapToGrid w:val="0"/>
                <w:color w:val="000000"/>
                <w:spacing w:val="-4"/>
                <w:kern w:val="0"/>
                <w:sz w:val="21"/>
                <w:szCs w:val="21"/>
                <w:lang w:val="en-US" w:eastAsia="zh-CN" w:bidi="ar-SA"/>
              </w:rPr>
              <w:t>9年4</w:t>
            </w:r>
            <w:r>
              <w:rPr>
                <w:rFonts w:hint="default" w:ascii="Times New Roman" w:hAnsi="Times New Roman" w:eastAsia="宋体" w:cs="Times New Roman"/>
                <w:snapToGrid w:val="0"/>
                <w:color w:val="000000"/>
                <w:spacing w:val="-4"/>
                <w:kern w:val="0"/>
                <w:sz w:val="21"/>
                <w:szCs w:val="21"/>
                <w:lang w:val="en-US" w:eastAsia="en-US" w:bidi="ar-SA"/>
              </w:rPr>
              <w:t>月）</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both"/>
              <w:textAlignment w:val="baseline"/>
              <w:rPr>
                <w:rFonts w:hint="default" w:ascii="Times New Roman" w:hAnsi="Times New Roman" w:eastAsia="宋体" w:cs="Times New Roman"/>
                <w:snapToGrid w:val="0"/>
                <w:color w:val="000000"/>
                <w:spacing w:val="-4"/>
                <w:kern w:val="0"/>
                <w:sz w:val="21"/>
                <w:szCs w:val="21"/>
                <w:lang w:val="en-US" w:eastAsia="zh-CN" w:bidi="ar-SA"/>
              </w:rPr>
            </w:pPr>
            <w:r>
              <w:rPr>
                <w:rFonts w:hint="default" w:ascii="Times New Roman" w:hAnsi="Times New Roman" w:eastAsia="宋体" w:cs="Times New Roman"/>
                <w:snapToGrid w:val="0"/>
                <w:color w:val="000000"/>
                <w:spacing w:val="-4"/>
                <w:kern w:val="0"/>
                <w:sz w:val="21"/>
                <w:szCs w:val="21"/>
                <w:lang w:val="en-US" w:eastAsia="en-US" w:bidi="ar-SA"/>
              </w:rPr>
              <w:t>202</w:t>
            </w:r>
            <w:r>
              <w:rPr>
                <w:rFonts w:hint="default" w:ascii="Times New Roman" w:hAnsi="Times New Roman" w:eastAsia="宋体" w:cs="Times New Roman"/>
                <w:snapToGrid w:val="0"/>
                <w:color w:val="000000"/>
                <w:spacing w:val="-4"/>
                <w:kern w:val="0"/>
                <w:sz w:val="21"/>
                <w:szCs w:val="21"/>
                <w:lang w:val="en-US" w:eastAsia="zh-CN" w:bidi="ar-SA"/>
              </w:rPr>
              <w:t>4</w:t>
            </w:r>
            <w:r>
              <w:rPr>
                <w:rFonts w:hint="default" w:ascii="Times New Roman" w:hAnsi="Times New Roman" w:eastAsia="宋体" w:cs="Times New Roman"/>
                <w:snapToGrid w:val="0"/>
                <w:color w:val="000000"/>
                <w:spacing w:val="-4"/>
                <w:kern w:val="0"/>
                <w:sz w:val="21"/>
                <w:szCs w:val="21"/>
                <w:lang w:val="en-US" w:eastAsia="en-US" w:bidi="ar-SA"/>
              </w:rPr>
              <w:t>年：矿山筹建和基建时间</w:t>
            </w:r>
            <w:r>
              <w:rPr>
                <w:rFonts w:hint="default" w:ascii="Times New Roman" w:hAnsi="Times New Roman" w:eastAsia="宋体" w:cs="Times New Roman"/>
                <w:snapToGrid w:val="0"/>
                <w:color w:val="000000"/>
                <w:spacing w:val="-4"/>
                <w:kern w:val="0"/>
                <w:sz w:val="21"/>
                <w:szCs w:val="21"/>
                <w:lang w:val="en-US" w:eastAsia="zh-CN" w:bidi="ar-SA"/>
              </w:rPr>
              <w:t>。</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both"/>
              <w:textAlignment w:val="baseline"/>
              <w:rPr>
                <w:rFonts w:hint="default" w:ascii="Times New Roman" w:hAnsi="Times New Roman" w:eastAsia="宋体" w:cs="Times New Roman"/>
                <w:snapToGrid w:val="0"/>
                <w:color w:val="000000"/>
                <w:spacing w:val="-4"/>
                <w:kern w:val="0"/>
                <w:sz w:val="21"/>
                <w:szCs w:val="21"/>
                <w:lang w:val="en-US" w:eastAsia="en-US" w:bidi="ar-SA"/>
              </w:rPr>
            </w:pPr>
            <w:r>
              <w:rPr>
                <w:rFonts w:hint="default" w:ascii="Times New Roman" w:hAnsi="Times New Roman" w:eastAsia="宋体" w:cs="Times New Roman"/>
                <w:snapToGrid w:val="0"/>
                <w:color w:val="000000"/>
                <w:spacing w:val="-4"/>
                <w:kern w:val="0"/>
                <w:sz w:val="21"/>
                <w:szCs w:val="21"/>
                <w:lang w:val="en-US" w:eastAsia="zh-CN" w:bidi="ar-SA"/>
              </w:rPr>
              <w:t>2025年：</w:t>
            </w:r>
            <w:r>
              <w:rPr>
                <w:rFonts w:hint="default" w:ascii="Times New Roman" w:hAnsi="Times New Roman" w:eastAsia="宋体" w:cs="Times New Roman"/>
                <w:snapToGrid w:val="0"/>
                <w:color w:val="000000"/>
                <w:spacing w:val="-4"/>
                <w:kern w:val="0"/>
                <w:sz w:val="21"/>
                <w:szCs w:val="21"/>
                <w:lang w:val="en-US" w:eastAsia="en-US" w:bidi="ar-SA"/>
              </w:rPr>
              <w:t>建设生态保护保育工程的宣传警示牌、生态修复工程的绿化工程、沉淀池工程、截（排）水沟工程（不包括终了平台的截水沟）、排土场挡土墙、防护围栏工程以及年度监测和管护工程。</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both"/>
              <w:textAlignment w:val="baseline"/>
              <w:rPr>
                <w:rFonts w:hint="default" w:ascii="Times New Roman" w:hAnsi="Times New Roman" w:eastAsia="宋体" w:cs="Times New Roman"/>
                <w:snapToGrid w:val="0"/>
                <w:color w:val="000000"/>
                <w:spacing w:val="-4"/>
                <w:kern w:val="0"/>
                <w:sz w:val="21"/>
                <w:szCs w:val="21"/>
                <w:lang w:val="en-US" w:eastAsia="en-US" w:bidi="ar-SA"/>
              </w:rPr>
            </w:pPr>
            <w:r>
              <w:rPr>
                <w:rFonts w:hint="default" w:ascii="Times New Roman" w:hAnsi="Times New Roman" w:eastAsia="宋体" w:cs="Times New Roman"/>
                <w:snapToGrid w:val="0"/>
                <w:color w:val="000000"/>
                <w:spacing w:val="-4"/>
                <w:kern w:val="0"/>
                <w:sz w:val="21"/>
                <w:szCs w:val="21"/>
                <w:lang w:val="en-US" w:eastAsia="en-US" w:bidi="ar-SA"/>
              </w:rPr>
              <w:t>202</w:t>
            </w:r>
            <w:r>
              <w:rPr>
                <w:rFonts w:hint="default" w:ascii="Times New Roman" w:hAnsi="Times New Roman" w:eastAsia="宋体" w:cs="Times New Roman"/>
                <w:snapToGrid w:val="0"/>
                <w:color w:val="000000"/>
                <w:spacing w:val="-4"/>
                <w:kern w:val="0"/>
                <w:sz w:val="21"/>
                <w:szCs w:val="21"/>
                <w:lang w:val="en-US" w:eastAsia="zh-CN" w:bidi="ar-SA"/>
              </w:rPr>
              <w:t>6—</w:t>
            </w:r>
            <w:r>
              <w:rPr>
                <w:rFonts w:hint="default" w:ascii="Times New Roman" w:hAnsi="Times New Roman" w:eastAsia="宋体" w:cs="Times New Roman"/>
                <w:snapToGrid w:val="0"/>
                <w:color w:val="000000"/>
                <w:spacing w:val="-4"/>
                <w:kern w:val="0"/>
                <w:sz w:val="21"/>
                <w:szCs w:val="21"/>
                <w:lang w:val="en-US" w:eastAsia="en-US" w:bidi="ar-SA"/>
              </w:rPr>
              <w:t>20</w:t>
            </w:r>
            <w:r>
              <w:rPr>
                <w:rFonts w:hint="default" w:ascii="Times New Roman" w:hAnsi="Times New Roman" w:eastAsia="宋体" w:cs="Times New Roman"/>
                <w:snapToGrid w:val="0"/>
                <w:color w:val="000000"/>
                <w:spacing w:val="-4"/>
                <w:kern w:val="0"/>
                <w:sz w:val="21"/>
                <w:szCs w:val="21"/>
                <w:lang w:val="en-US" w:eastAsia="zh-CN" w:bidi="ar-SA"/>
              </w:rPr>
              <w:t>34</w:t>
            </w:r>
            <w:r>
              <w:rPr>
                <w:rFonts w:hint="default" w:ascii="Times New Roman" w:hAnsi="Times New Roman" w:eastAsia="宋体" w:cs="Times New Roman"/>
                <w:snapToGrid w:val="0"/>
                <w:color w:val="000000"/>
                <w:spacing w:val="-4"/>
                <w:kern w:val="0"/>
                <w:sz w:val="21"/>
                <w:szCs w:val="21"/>
                <w:lang w:val="en-US" w:eastAsia="en-US" w:bidi="ar-SA"/>
              </w:rPr>
              <w:t>年：根据矿山开采进度依次对上年度</w:t>
            </w:r>
            <w:r>
              <w:rPr>
                <w:rFonts w:hint="default" w:ascii="Times New Roman" w:hAnsi="Times New Roman" w:eastAsia="宋体" w:cs="Times New Roman"/>
                <w:snapToGrid w:val="0"/>
                <w:color w:val="000000"/>
                <w:spacing w:val="-4"/>
                <w:kern w:val="0"/>
                <w:sz w:val="21"/>
                <w:szCs w:val="21"/>
                <w:lang w:val="en-US" w:eastAsia="zh-CN" w:bidi="ar-SA"/>
              </w:rPr>
              <w:t>完成</w:t>
            </w:r>
            <w:r>
              <w:rPr>
                <w:rFonts w:hint="default" w:ascii="Times New Roman" w:hAnsi="Times New Roman" w:eastAsia="宋体" w:cs="Times New Roman"/>
                <w:snapToGrid w:val="0"/>
                <w:color w:val="000000"/>
                <w:spacing w:val="-4"/>
                <w:kern w:val="0"/>
                <w:sz w:val="21"/>
                <w:szCs w:val="21"/>
                <w:lang w:val="en-US" w:eastAsia="en-US" w:bidi="ar-SA"/>
              </w:rPr>
              <w:t>开采的开采台阶进行复垦，对上年度复垦的林地进行管护</w:t>
            </w:r>
            <w:r>
              <w:rPr>
                <w:rFonts w:hint="default" w:ascii="Times New Roman" w:hAnsi="Times New Roman" w:eastAsia="宋体" w:cs="Times New Roman"/>
                <w:snapToGrid w:val="0"/>
                <w:color w:val="000000"/>
                <w:spacing w:val="-4"/>
                <w:kern w:val="0"/>
                <w:sz w:val="21"/>
                <w:szCs w:val="21"/>
                <w:lang w:val="en-US" w:eastAsia="zh-CN" w:bidi="ar-SA"/>
              </w:rPr>
              <w:t>（管护期三年）</w:t>
            </w:r>
            <w:r>
              <w:rPr>
                <w:rFonts w:hint="default" w:ascii="Times New Roman" w:hAnsi="Times New Roman" w:eastAsia="宋体" w:cs="Times New Roman"/>
                <w:snapToGrid w:val="0"/>
                <w:color w:val="000000"/>
                <w:spacing w:val="-4"/>
                <w:kern w:val="0"/>
                <w:sz w:val="21"/>
                <w:szCs w:val="21"/>
                <w:lang w:val="en-US" w:eastAsia="en-US" w:bidi="ar-SA"/>
              </w:rPr>
              <w:t>，并落实其他年度监测和管护工程。</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left"/>
              <w:textAlignment w:val="baseline"/>
              <w:rPr>
                <w:rFonts w:hint="default" w:ascii="Times New Roman" w:hAnsi="Times New Roman" w:eastAsia="宋体" w:cs="Times New Roman"/>
                <w:snapToGrid w:val="0"/>
                <w:color w:val="000000"/>
                <w:spacing w:val="-4"/>
                <w:kern w:val="0"/>
                <w:sz w:val="21"/>
                <w:szCs w:val="21"/>
                <w:lang w:val="en-US" w:eastAsia="zh-CN" w:bidi="ar-SA"/>
              </w:rPr>
            </w:pPr>
            <w:r>
              <w:rPr>
                <w:rFonts w:hint="default" w:ascii="Times New Roman" w:hAnsi="Times New Roman" w:eastAsia="宋体" w:cs="Times New Roman"/>
                <w:snapToGrid w:val="0"/>
                <w:color w:val="000000"/>
                <w:spacing w:val="-4"/>
                <w:kern w:val="0"/>
                <w:sz w:val="21"/>
                <w:szCs w:val="21"/>
                <w:lang w:val="en-US" w:eastAsia="en-US" w:bidi="ar-SA"/>
              </w:rPr>
              <w:t>20</w:t>
            </w:r>
            <w:r>
              <w:rPr>
                <w:rFonts w:hint="default" w:ascii="Times New Roman" w:hAnsi="Times New Roman" w:eastAsia="宋体" w:cs="Times New Roman"/>
                <w:snapToGrid w:val="0"/>
                <w:color w:val="000000"/>
                <w:spacing w:val="-4"/>
                <w:kern w:val="0"/>
                <w:sz w:val="21"/>
                <w:szCs w:val="21"/>
                <w:lang w:val="en-US" w:eastAsia="zh-CN" w:bidi="ar-SA"/>
              </w:rPr>
              <w:t>35</w:t>
            </w:r>
            <w:r>
              <w:rPr>
                <w:rFonts w:hint="default" w:ascii="Times New Roman" w:hAnsi="Times New Roman" w:eastAsia="宋体" w:cs="Times New Roman"/>
                <w:snapToGrid w:val="0"/>
                <w:color w:val="000000"/>
                <w:spacing w:val="-4"/>
                <w:kern w:val="0"/>
                <w:sz w:val="21"/>
                <w:szCs w:val="21"/>
                <w:lang w:val="en-US" w:eastAsia="en-US" w:bidi="ar-SA"/>
              </w:rPr>
              <w:t>年：矿山关闭后进行全面复垦</w:t>
            </w:r>
            <w:r>
              <w:rPr>
                <w:rFonts w:hint="default" w:ascii="Times New Roman" w:hAnsi="Times New Roman" w:eastAsia="宋体" w:cs="Times New Roman"/>
                <w:snapToGrid w:val="0"/>
                <w:color w:val="000000"/>
                <w:spacing w:val="-4"/>
                <w:kern w:val="0"/>
                <w:sz w:val="21"/>
                <w:szCs w:val="21"/>
                <w:lang w:val="en-US" w:eastAsia="zh-CN" w:bidi="ar-SA"/>
              </w:rPr>
              <w:t>；完成终了平台、排土场和工业广场的复垦工程，建设终了平台截水沟，完成年度监测和管护工程。</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both"/>
              <w:textAlignment w:val="baseline"/>
              <w:rPr>
                <w:rFonts w:hint="default" w:ascii="Times New Roman" w:hAnsi="Times New Roman" w:eastAsia="宋体" w:cs="Times New Roman"/>
                <w:sz w:val="21"/>
                <w:szCs w:val="21"/>
              </w:rPr>
            </w:pPr>
            <w:r>
              <w:rPr>
                <w:rFonts w:hint="default" w:ascii="Times New Roman" w:hAnsi="Times New Roman" w:eastAsia="宋体" w:cs="Times New Roman"/>
                <w:snapToGrid w:val="0"/>
                <w:color w:val="000000"/>
                <w:spacing w:val="-4"/>
                <w:kern w:val="0"/>
                <w:sz w:val="21"/>
                <w:szCs w:val="21"/>
                <w:lang w:val="en-US" w:eastAsia="en-US" w:bidi="ar-SA"/>
              </w:rPr>
              <w:t>20</w:t>
            </w:r>
            <w:r>
              <w:rPr>
                <w:rFonts w:hint="default" w:ascii="Times New Roman" w:hAnsi="Times New Roman" w:eastAsia="宋体" w:cs="Times New Roman"/>
                <w:snapToGrid w:val="0"/>
                <w:color w:val="000000"/>
                <w:spacing w:val="-4"/>
                <w:kern w:val="0"/>
                <w:sz w:val="21"/>
                <w:szCs w:val="21"/>
                <w:lang w:val="en-US" w:eastAsia="zh-CN" w:bidi="ar-SA"/>
              </w:rPr>
              <w:t>36—</w:t>
            </w:r>
            <w:r>
              <w:rPr>
                <w:rFonts w:hint="default" w:ascii="Times New Roman" w:hAnsi="Times New Roman" w:eastAsia="宋体" w:cs="Times New Roman"/>
                <w:snapToGrid w:val="0"/>
                <w:color w:val="000000"/>
                <w:spacing w:val="-4"/>
                <w:kern w:val="0"/>
                <w:sz w:val="21"/>
                <w:szCs w:val="21"/>
                <w:lang w:val="en-US" w:eastAsia="en-US" w:bidi="ar-SA"/>
              </w:rPr>
              <w:t>203</w:t>
            </w:r>
            <w:r>
              <w:rPr>
                <w:rFonts w:hint="default" w:ascii="Times New Roman" w:hAnsi="Times New Roman" w:eastAsia="宋体" w:cs="Times New Roman"/>
                <w:snapToGrid w:val="0"/>
                <w:color w:val="000000"/>
                <w:spacing w:val="-4"/>
                <w:kern w:val="0"/>
                <w:sz w:val="21"/>
                <w:szCs w:val="21"/>
                <w:lang w:val="en-US" w:eastAsia="zh-CN" w:bidi="ar-SA"/>
              </w:rPr>
              <w:t>9</w:t>
            </w:r>
            <w:r>
              <w:rPr>
                <w:rFonts w:hint="default" w:ascii="Times New Roman" w:hAnsi="Times New Roman" w:eastAsia="宋体" w:cs="Times New Roman"/>
                <w:snapToGrid w:val="0"/>
                <w:color w:val="000000"/>
                <w:spacing w:val="-4"/>
                <w:kern w:val="0"/>
                <w:sz w:val="21"/>
                <w:szCs w:val="21"/>
                <w:lang w:val="en-US" w:eastAsia="en-US" w:bidi="ar-SA"/>
              </w:rPr>
              <w:t>年：落实3年管护期的监测工程和上年度复垦林地的管护工程、年度设施管护工程</w:t>
            </w:r>
            <w:r>
              <w:rPr>
                <w:rFonts w:hint="default" w:ascii="Times New Roman" w:hAnsi="Times New Roman" w:eastAsia="宋体" w:cs="Times New Roman"/>
                <w:snapToGrid w:val="0"/>
                <w:color w:val="000000"/>
                <w:spacing w:val="-4"/>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1824" w:type="dxa"/>
            <w:gridSpan w:val="2"/>
            <w:vAlign w:val="center"/>
          </w:tcPr>
          <w:p>
            <w:pPr>
              <w:keepNext w:val="0"/>
              <w:keepLines w:val="0"/>
              <w:pageBreakBefore w:val="0"/>
              <w:widowControl w:val="0"/>
              <w:suppressAutoHyphens/>
              <w:kinsoku/>
              <w:wordWrap/>
              <w:overflowPunct/>
              <w:topLinePunct w:val="0"/>
              <w:bidi w:val="0"/>
              <w:spacing w:line="0" w:lineRule="atLeas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经费估算与基金管理</w:t>
            </w:r>
          </w:p>
        </w:tc>
        <w:tc>
          <w:tcPr>
            <w:tcW w:w="6472" w:type="dxa"/>
            <w:gridSpan w:val="6"/>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both"/>
              <w:textAlignment w:val="baseline"/>
              <w:rPr>
                <w:rFonts w:hint="default" w:ascii="Times New Roman" w:hAnsi="Times New Roman" w:eastAsia="宋体" w:cs="Times New Roman"/>
                <w:snapToGrid w:val="0"/>
                <w:color w:val="000000"/>
                <w:spacing w:val="-4"/>
                <w:kern w:val="0"/>
                <w:sz w:val="21"/>
                <w:szCs w:val="21"/>
                <w:highlight w:val="none"/>
                <w:lang w:val="en-US" w:eastAsia="en-US" w:bidi="ar-SA"/>
              </w:rPr>
            </w:pPr>
            <w:r>
              <w:rPr>
                <w:rFonts w:hint="default" w:ascii="Times New Roman" w:hAnsi="Times New Roman" w:eastAsia="宋体" w:cs="Times New Roman"/>
                <w:snapToGrid w:val="0"/>
                <w:color w:val="000000"/>
                <w:spacing w:val="-4"/>
                <w:kern w:val="0"/>
                <w:sz w:val="21"/>
                <w:szCs w:val="21"/>
                <w:highlight w:val="none"/>
                <w:lang w:val="en-US" w:eastAsia="en-US" w:bidi="ar-SA"/>
              </w:rPr>
              <w:t>经费估算：矿山生态修复工程费用估算为</w:t>
            </w:r>
            <w:r>
              <w:rPr>
                <w:rFonts w:hint="eastAsia" w:ascii="Times New Roman" w:hAnsi="Times New Roman" w:eastAsia="宋体" w:cs="Times New Roman"/>
                <w:snapToGrid w:val="0"/>
                <w:color w:val="000000"/>
                <w:spacing w:val="-4"/>
                <w:kern w:val="0"/>
                <w:sz w:val="21"/>
                <w:szCs w:val="21"/>
                <w:highlight w:val="none"/>
                <w:lang w:val="en-US" w:eastAsia="zh-CN" w:bidi="ar-SA"/>
              </w:rPr>
              <w:t>***</w:t>
            </w:r>
            <w:r>
              <w:rPr>
                <w:rFonts w:hint="default" w:ascii="Times New Roman" w:hAnsi="Times New Roman" w:eastAsia="宋体" w:cs="Times New Roman"/>
                <w:snapToGrid w:val="0"/>
                <w:color w:val="000000"/>
                <w:spacing w:val="-4"/>
                <w:kern w:val="0"/>
                <w:sz w:val="21"/>
                <w:szCs w:val="21"/>
                <w:highlight w:val="none"/>
                <w:lang w:val="en-US" w:eastAsia="en-US" w:bidi="ar-SA"/>
              </w:rPr>
              <w:t>万元。其中：</w:t>
            </w:r>
            <w:r>
              <w:rPr>
                <w:rFonts w:hint="eastAsia" w:ascii="Times New Roman" w:hAnsi="Times New Roman" w:eastAsia="宋体" w:cs="Times New Roman"/>
                <w:snapToGrid w:val="0"/>
                <w:color w:val="000000"/>
                <w:spacing w:val="-4"/>
                <w:kern w:val="0"/>
                <w:sz w:val="21"/>
                <w:szCs w:val="21"/>
                <w:highlight w:val="none"/>
                <w:lang w:val="en-US" w:eastAsia="zh-CN" w:bidi="ar-SA"/>
              </w:rPr>
              <w:t>工程施工费***</w:t>
            </w:r>
            <w:r>
              <w:rPr>
                <w:rFonts w:hint="default" w:ascii="Times New Roman" w:hAnsi="Times New Roman" w:eastAsia="宋体" w:cs="Times New Roman"/>
                <w:snapToGrid w:val="0"/>
                <w:color w:val="000000"/>
                <w:spacing w:val="-4"/>
                <w:kern w:val="0"/>
                <w:sz w:val="21"/>
                <w:szCs w:val="21"/>
                <w:highlight w:val="none"/>
                <w:lang w:val="en-US" w:eastAsia="en-US" w:bidi="ar-SA"/>
              </w:rPr>
              <w:t>万元</w:t>
            </w:r>
            <w:r>
              <w:rPr>
                <w:rFonts w:hint="eastAsia" w:ascii="Times New Roman" w:hAnsi="Times New Roman" w:eastAsia="宋体" w:cs="Times New Roman"/>
                <w:snapToGrid w:val="0"/>
                <w:color w:val="000000"/>
                <w:spacing w:val="-4"/>
                <w:kern w:val="0"/>
                <w:sz w:val="21"/>
                <w:szCs w:val="21"/>
                <w:highlight w:val="none"/>
                <w:lang w:val="en-US" w:eastAsia="zh-CN" w:bidi="ar-SA"/>
              </w:rPr>
              <w:t>，</w:t>
            </w:r>
            <w:r>
              <w:rPr>
                <w:rFonts w:hint="default" w:ascii="Times New Roman" w:hAnsi="Times New Roman" w:eastAsia="宋体" w:cs="Times New Roman"/>
                <w:snapToGrid w:val="0"/>
                <w:color w:val="000000"/>
                <w:spacing w:val="-4"/>
                <w:kern w:val="0"/>
                <w:sz w:val="21"/>
                <w:szCs w:val="21"/>
                <w:highlight w:val="none"/>
                <w:lang w:val="en-US" w:eastAsia="zh-CN" w:bidi="ar-SA"/>
              </w:rPr>
              <w:t>其他费用</w:t>
            </w:r>
            <w:r>
              <w:rPr>
                <w:rFonts w:hint="eastAsia" w:ascii="Times New Roman" w:hAnsi="Times New Roman" w:eastAsia="宋体" w:cs="Times New Roman"/>
                <w:snapToGrid w:val="0"/>
                <w:color w:val="000000"/>
                <w:spacing w:val="-4"/>
                <w:kern w:val="0"/>
                <w:sz w:val="21"/>
                <w:szCs w:val="21"/>
                <w:highlight w:val="none"/>
                <w:lang w:val="en-US" w:eastAsia="zh-CN" w:bidi="ar-SA"/>
              </w:rPr>
              <w:t>***</w:t>
            </w:r>
            <w:r>
              <w:rPr>
                <w:rFonts w:hint="default" w:ascii="Times New Roman" w:hAnsi="Times New Roman" w:eastAsia="宋体" w:cs="Times New Roman"/>
                <w:snapToGrid w:val="0"/>
                <w:color w:val="000000"/>
                <w:spacing w:val="-4"/>
                <w:kern w:val="0"/>
                <w:sz w:val="21"/>
                <w:szCs w:val="21"/>
                <w:highlight w:val="none"/>
                <w:lang w:val="en-US" w:eastAsia="en-US" w:bidi="ar-SA"/>
              </w:rPr>
              <w:t>万元</w:t>
            </w:r>
            <w:r>
              <w:rPr>
                <w:rFonts w:hint="eastAsia" w:ascii="Times New Roman" w:hAnsi="Times New Roman" w:eastAsia="宋体" w:cs="Times New Roman"/>
                <w:snapToGrid w:val="0"/>
                <w:color w:val="000000"/>
                <w:spacing w:val="-4"/>
                <w:kern w:val="0"/>
                <w:sz w:val="21"/>
                <w:szCs w:val="21"/>
                <w:highlight w:val="none"/>
                <w:lang w:val="en-US" w:eastAsia="zh-CN" w:bidi="ar-SA"/>
              </w:rPr>
              <w:t>，</w:t>
            </w:r>
            <w:r>
              <w:rPr>
                <w:rFonts w:hint="default" w:ascii="Times New Roman" w:hAnsi="Times New Roman" w:eastAsia="宋体" w:cs="Times New Roman"/>
                <w:snapToGrid w:val="0"/>
                <w:color w:val="000000"/>
                <w:spacing w:val="-4"/>
                <w:kern w:val="0"/>
                <w:sz w:val="21"/>
                <w:szCs w:val="21"/>
                <w:highlight w:val="none"/>
                <w:lang w:val="en-US" w:eastAsia="en-US" w:bidi="ar-SA"/>
              </w:rPr>
              <w:t>不可预见费</w:t>
            </w:r>
            <w:r>
              <w:rPr>
                <w:rFonts w:hint="eastAsia" w:ascii="Times New Roman" w:hAnsi="Times New Roman" w:eastAsia="宋体" w:cs="Times New Roman"/>
                <w:snapToGrid w:val="0"/>
                <w:color w:val="000000"/>
                <w:spacing w:val="-4"/>
                <w:kern w:val="0"/>
                <w:sz w:val="21"/>
                <w:szCs w:val="21"/>
                <w:highlight w:val="none"/>
                <w:lang w:val="en-US" w:eastAsia="zh-CN" w:bidi="ar-SA"/>
              </w:rPr>
              <w:t>***</w:t>
            </w:r>
            <w:r>
              <w:rPr>
                <w:rFonts w:hint="default" w:ascii="Times New Roman" w:hAnsi="Times New Roman" w:eastAsia="宋体" w:cs="Times New Roman"/>
                <w:snapToGrid w:val="0"/>
                <w:color w:val="000000"/>
                <w:spacing w:val="-4"/>
                <w:kern w:val="0"/>
                <w:sz w:val="21"/>
                <w:szCs w:val="21"/>
                <w:highlight w:val="none"/>
                <w:lang w:val="en-US" w:eastAsia="en-US" w:bidi="ar-SA"/>
              </w:rPr>
              <w:t>万元</w:t>
            </w:r>
            <w:r>
              <w:rPr>
                <w:rFonts w:hint="eastAsia" w:ascii="Times New Roman" w:hAnsi="Times New Roman" w:eastAsia="宋体" w:cs="Times New Roman"/>
                <w:snapToGrid w:val="0"/>
                <w:color w:val="000000"/>
                <w:spacing w:val="-4"/>
                <w:kern w:val="0"/>
                <w:sz w:val="21"/>
                <w:szCs w:val="21"/>
                <w:highlight w:val="none"/>
                <w:lang w:val="en-US" w:eastAsia="zh-CN" w:bidi="ar-SA"/>
              </w:rPr>
              <w:t>，预留费用***万元</w:t>
            </w:r>
            <w:r>
              <w:rPr>
                <w:rFonts w:hint="default" w:ascii="Times New Roman" w:hAnsi="Times New Roman" w:eastAsia="宋体" w:cs="Times New Roman"/>
                <w:snapToGrid w:val="0"/>
                <w:color w:val="000000"/>
                <w:spacing w:val="-4"/>
                <w:kern w:val="0"/>
                <w:sz w:val="21"/>
                <w:szCs w:val="21"/>
                <w:highlight w:val="none"/>
                <w:lang w:val="en-US" w:eastAsia="en-US" w:bidi="ar-SA"/>
              </w:rPr>
              <w:t>。</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firstLine="404" w:firstLineChars="200"/>
              <w:jc w:val="both"/>
              <w:textAlignment w:val="baseline"/>
              <w:rPr>
                <w:rFonts w:hint="default" w:ascii="Times New Roman" w:hAnsi="Times New Roman" w:eastAsia="宋体" w:cs="Times New Roman"/>
                <w:sz w:val="21"/>
                <w:szCs w:val="21"/>
              </w:rPr>
            </w:pPr>
            <w:r>
              <w:rPr>
                <w:rFonts w:hint="default" w:ascii="Times New Roman" w:hAnsi="Times New Roman" w:eastAsia="宋体" w:cs="Times New Roman"/>
                <w:snapToGrid w:val="0"/>
                <w:color w:val="000000"/>
                <w:spacing w:val="-4"/>
                <w:kern w:val="0"/>
                <w:sz w:val="21"/>
                <w:szCs w:val="21"/>
                <w:lang w:val="en-US" w:eastAsia="en-US" w:bidi="ar-SA"/>
              </w:rPr>
              <w:t>基金</w:t>
            </w:r>
            <w:r>
              <w:rPr>
                <w:rFonts w:hint="default" w:ascii="Times New Roman" w:hAnsi="Times New Roman" w:eastAsia="宋体" w:cs="Times New Roman"/>
                <w:snapToGrid w:val="0"/>
                <w:color w:val="000000"/>
                <w:spacing w:val="-4"/>
                <w:kern w:val="0"/>
                <w:sz w:val="21"/>
                <w:szCs w:val="21"/>
                <w:highlight w:val="none"/>
                <w:lang w:val="en-US" w:eastAsia="en-US" w:bidi="ar-SA"/>
              </w:rPr>
              <w:t>计提：计提时间为</w:t>
            </w:r>
            <w:r>
              <w:rPr>
                <w:rFonts w:hint="default" w:ascii="Times New Roman" w:hAnsi="Times New Roman" w:eastAsia="宋体" w:cs="Times New Roman"/>
                <w:snapToGrid w:val="0"/>
                <w:color w:val="000000"/>
                <w:spacing w:val="-4"/>
                <w:kern w:val="0"/>
                <w:sz w:val="21"/>
                <w:szCs w:val="21"/>
                <w:highlight w:val="none"/>
                <w:lang w:val="en-US" w:eastAsia="zh-CN" w:bidi="ar-SA"/>
              </w:rPr>
              <w:t>4</w:t>
            </w:r>
            <w:r>
              <w:rPr>
                <w:rFonts w:hint="default" w:ascii="Times New Roman" w:hAnsi="Times New Roman" w:eastAsia="宋体" w:cs="Times New Roman"/>
                <w:snapToGrid w:val="0"/>
                <w:color w:val="000000"/>
                <w:spacing w:val="-4"/>
                <w:kern w:val="0"/>
                <w:sz w:val="21"/>
                <w:szCs w:val="21"/>
                <w:highlight w:val="none"/>
                <w:lang w:val="en-US" w:eastAsia="en-US" w:bidi="ar-SA"/>
              </w:rPr>
              <w:t>年，202</w:t>
            </w:r>
            <w:r>
              <w:rPr>
                <w:rFonts w:hint="eastAsia" w:ascii="Times New Roman" w:hAnsi="Times New Roman" w:eastAsia="宋体" w:cs="Times New Roman"/>
                <w:snapToGrid w:val="0"/>
                <w:color w:val="000000"/>
                <w:spacing w:val="-4"/>
                <w:kern w:val="0"/>
                <w:sz w:val="21"/>
                <w:szCs w:val="21"/>
                <w:highlight w:val="none"/>
                <w:lang w:val="en-US" w:eastAsia="zh-CN" w:bidi="ar-SA"/>
              </w:rPr>
              <w:t>4</w:t>
            </w:r>
            <w:r>
              <w:rPr>
                <w:rFonts w:hint="default" w:ascii="Times New Roman" w:hAnsi="Times New Roman" w:eastAsia="宋体" w:cs="Times New Roman"/>
                <w:snapToGrid w:val="0"/>
                <w:color w:val="000000"/>
                <w:spacing w:val="-4"/>
                <w:kern w:val="0"/>
                <w:sz w:val="21"/>
                <w:szCs w:val="21"/>
                <w:highlight w:val="none"/>
                <w:lang w:val="en-US" w:eastAsia="en-US" w:bidi="ar-SA"/>
              </w:rPr>
              <w:t>年拟提</w:t>
            </w:r>
            <w:r>
              <w:rPr>
                <w:rFonts w:hint="eastAsia" w:ascii="Times New Roman" w:hAnsi="Times New Roman" w:eastAsia="宋体" w:cs="Times New Roman"/>
                <w:snapToGrid w:val="0"/>
                <w:color w:val="000000"/>
                <w:spacing w:val="-4"/>
                <w:kern w:val="0"/>
                <w:sz w:val="21"/>
                <w:szCs w:val="21"/>
                <w:highlight w:val="none"/>
                <w:lang w:val="en-US" w:eastAsia="zh-CN" w:bidi="ar-SA"/>
              </w:rPr>
              <w:t>***</w:t>
            </w:r>
            <w:r>
              <w:rPr>
                <w:rFonts w:hint="default" w:ascii="Times New Roman" w:hAnsi="Times New Roman" w:eastAsia="宋体" w:cs="Times New Roman"/>
                <w:snapToGrid w:val="0"/>
                <w:color w:val="000000"/>
                <w:spacing w:val="-4"/>
                <w:kern w:val="0"/>
                <w:sz w:val="21"/>
                <w:szCs w:val="21"/>
                <w:highlight w:val="none"/>
                <w:lang w:val="en-US" w:eastAsia="en-US" w:bidi="ar-SA"/>
              </w:rPr>
              <w:t>万元，202</w:t>
            </w:r>
            <w:r>
              <w:rPr>
                <w:rFonts w:hint="eastAsia" w:ascii="Times New Roman" w:hAnsi="Times New Roman" w:eastAsia="宋体" w:cs="Times New Roman"/>
                <w:snapToGrid w:val="0"/>
                <w:color w:val="000000"/>
                <w:spacing w:val="-4"/>
                <w:kern w:val="0"/>
                <w:sz w:val="21"/>
                <w:szCs w:val="21"/>
                <w:highlight w:val="none"/>
                <w:lang w:val="en-US" w:eastAsia="zh-CN" w:bidi="ar-SA"/>
              </w:rPr>
              <w:t>5—2027</w:t>
            </w:r>
            <w:r>
              <w:rPr>
                <w:rFonts w:hint="default" w:ascii="Times New Roman" w:hAnsi="Times New Roman" w:eastAsia="宋体" w:cs="Times New Roman"/>
                <w:snapToGrid w:val="0"/>
                <w:color w:val="000000"/>
                <w:spacing w:val="-4"/>
                <w:kern w:val="0"/>
                <w:sz w:val="21"/>
                <w:szCs w:val="21"/>
                <w:highlight w:val="none"/>
                <w:lang w:val="en-US" w:eastAsia="en-US" w:bidi="ar-SA"/>
              </w:rPr>
              <w:t>年</w:t>
            </w:r>
            <w:r>
              <w:rPr>
                <w:rFonts w:hint="eastAsia" w:ascii="Times New Roman" w:hAnsi="Times New Roman" w:eastAsia="宋体" w:cs="Times New Roman"/>
                <w:snapToGrid w:val="0"/>
                <w:color w:val="000000"/>
                <w:spacing w:val="-4"/>
                <w:kern w:val="0"/>
                <w:sz w:val="21"/>
                <w:szCs w:val="21"/>
                <w:highlight w:val="none"/>
                <w:lang w:val="en-US" w:eastAsia="zh-CN" w:bidi="ar-SA"/>
              </w:rPr>
              <w:t>分别</w:t>
            </w:r>
            <w:r>
              <w:rPr>
                <w:rFonts w:hint="default" w:ascii="Times New Roman" w:hAnsi="Times New Roman" w:eastAsia="宋体" w:cs="Times New Roman"/>
                <w:snapToGrid w:val="0"/>
                <w:color w:val="000000"/>
                <w:spacing w:val="-4"/>
                <w:kern w:val="0"/>
                <w:sz w:val="21"/>
                <w:szCs w:val="21"/>
                <w:highlight w:val="none"/>
                <w:lang w:val="en-US" w:eastAsia="en-US" w:bidi="ar-SA"/>
              </w:rPr>
              <w:t>拟提</w:t>
            </w:r>
            <w:r>
              <w:rPr>
                <w:rFonts w:hint="eastAsia" w:ascii="Times New Roman" w:hAnsi="Times New Roman" w:eastAsia="宋体" w:cs="Times New Roman"/>
                <w:snapToGrid w:val="0"/>
                <w:color w:val="000000"/>
                <w:spacing w:val="-4"/>
                <w:kern w:val="0"/>
                <w:sz w:val="21"/>
                <w:szCs w:val="21"/>
                <w:highlight w:val="none"/>
                <w:lang w:val="en-US" w:eastAsia="zh-CN" w:bidi="ar-SA"/>
              </w:rPr>
              <w:t>***</w:t>
            </w:r>
            <w:r>
              <w:rPr>
                <w:rFonts w:hint="default" w:ascii="Times New Roman" w:hAnsi="Times New Roman" w:eastAsia="宋体" w:cs="Times New Roman"/>
                <w:snapToGrid w:val="0"/>
                <w:color w:val="000000"/>
                <w:spacing w:val="-4"/>
                <w:kern w:val="0"/>
                <w:sz w:val="21"/>
                <w:szCs w:val="21"/>
                <w:highlight w:val="none"/>
                <w:lang w:val="en-US" w:eastAsia="en-US" w:bidi="ar-SA"/>
              </w:rPr>
              <w:t>万元</w:t>
            </w:r>
            <w:r>
              <w:rPr>
                <w:rFonts w:hint="eastAsia" w:ascii="Times New Roman" w:hAnsi="Times New Roman" w:eastAsia="宋体" w:cs="Times New Roman"/>
                <w:snapToGrid w:val="0"/>
                <w:color w:val="000000"/>
                <w:spacing w:val="-4"/>
                <w:kern w:val="0"/>
                <w:sz w:val="21"/>
                <w:szCs w:val="21"/>
                <w:highlight w:val="none"/>
                <w:lang w:val="en-US" w:eastAsia="zh-CN" w:bidi="ar-SA"/>
              </w:rPr>
              <w:t>、***万元、***万元</w:t>
            </w:r>
            <w:r>
              <w:rPr>
                <w:rFonts w:hint="default" w:ascii="Times New Roman" w:hAnsi="Times New Roman" w:eastAsia="宋体" w:cs="Times New Roman"/>
                <w:snapToGrid w:val="0"/>
                <w:color w:val="000000"/>
                <w:spacing w:val="-4"/>
                <w:kern w:val="0"/>
                <w:sz w:val="21"/>
                <w:szCs w:val="21"/>
                <w:highlight w:val="none"/>
                <w:lang w:val="en-US" w:eastAsia="en-US" w:bidi="ar-SA"/>
              </w:rPr>
              <w:t>。</w:t>
            </w:r>
          </w:p>
        </w:tc>
      </w:tr>
    </w:tbl>
    <w:p>
      <w:pPr>
        <w:pStyle w:val="2"/>
        <w:numPr>
          <w:ilvl w:val="0"/>
          <w:numId w:val="1"/>
        </w:numPr>
        <w:jc w:val="center"/>
        <w:rPr>
          <w:rFonts w:hint="default" w:ascii="Times New Roman" w:hAnsi="Times New Roman" w:eastAsia="宋体" w:cs="Times New Roma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bookmarkStart w:id="0" w:name="_Toc155772655"/>
    </w:p>
    <w:p>
      <w:pPr>
        <w:pStyle w:val="2"/>
        <w:numPr>
          <w:ilvl w:val="0"/>
          <w:numId w:val="1"/>
        </w:numPr>
        <w:jc w:val="center"/>
        <w:rPr>
          <w:rFonts w:hint="default" w:ascii="Times New Roman" w:hAnsi="Times New Roman" w:eastAsia="黑体" w:cs="Times New Roman"/>
        </w:rPr>
      </w:pPr>
      <w:r>
        <w:rPr>
          <w:rFonts w:hint="default" w:ascii="Times New Roman" w:hAnsi="Times New Roman" w:eastAsia="黑体" w:cs="Times New Roman"/>
        </w:rPr>
        <w:t>基本情况</w:t>
      </w:r>
      <w:bookmarkEnd w:id="0"/>
    </w:p>
    <w:p>
      <w:pPr>
        <w:pStyle w:val="3"/>
        <w:rPr>
          <w:rFonts w:hint="default" w:ascii="Times New Roman" w:hAnsi="Times New Roman" w:eastAsia="宋体" w:cs="Times New Roman"/>
        </w:rPr>
      </w:pPr>
      <w:bookmarkStart w:id="1" w:name="_Toc155772656"/>
      <w:r>
        <w:rPr>
          <w:rFonts w:hint="default" w:ascii="Times New Roman" w:hAnsi="Times New Roman" w:eastAsia="宋体" w:cs="Times New Roman"/>
        </w:rPr>
        <w:t>一、方案编制工作概况</w:t>
      </w:r>
      <w:bookmarkEnd w:id="1"/>
    </w:p>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（一）任务由来</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为了推进绿色矿业的建设，满足市场对砂石矿的需求，根据湖南省自然资源厅批复的《汨罗市普通建筑材料用砂石土矿专项规划（2019—2025年）》，汨罗市人民政府拟启动汨罗市神鼎山镇梅树湾建筑用花岗岩矿开采项目（以下简称“项目”），项目开采规划区块名称为汨罗神鼎山镇梅树湾建筑用花岗岩矿。</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rPr>
        <w:t>为依法规范出让湖南省汨罗市梅树湾矿区建筑用花岗岩矿采矿权，2022年10月～2023年3月，湖南省地质灾害调查监测所对矿区建筑用花岗岩矿进行了勘查工作，编制了</w:t>
      </w:r>
      <w:bookmarkStart w:id="2" w:name="_Hlk155775848"/>
      <w:r>
        <w:rPr>
          <w:rFonts w:hint="default" w:ascii="Times New Roman" w:hAnsi="Times New Roman" w:eastAsia="宋体" w:cs="Times New Roman"/>
          <w:sz w:val="28"/>
          <w:szCs w:val="28"/>
        </w:rPr>
        <w:t>《湖南省汨罗市梅树湾矿区建筑用花岗岩矿勘查报告》</w:t>
      </w:r>
      <w:bookmarkEnd w:id="2"/>
      <w:r>
        <w:rPr>
          <w:rFonts w:hint="default" w:ascii="Times New Roman" w:hAnsi="Times New Roman" w:eastAsia="宋体" w:cs="Times New Roman"/>
          <w:sz w:val="28"/>
          <w:szCs w:val="28"/>
        </w:rPr>
        <w:t>，评审号为（岳储评字〔2023〕25号）；湖南省地质灾害调查监测所对采矿权申请范围进行核查，并提交了《湖南省汨罗市梅树湾矿区建筑用花岗岩矿采矿权申请范围核查报告》（岳采矿权核查评字〔2023〕002号），采矿权范围由7个拐点圈定，面积***</w:t>
      </w:r>
      <w:r>
        <w:rPr>
          <w:rFonts w:hint="eastAsia" w:ascii="Times New Roman" w:hAnsi="Times New Roman" w:eastAsia="宋体" w:cs="Times New Roman"/>
          <w:sz w:val="28"/>
          <w:szCs w:val="28"/>
          <w:lang w:val="en-US" w:eastAsia="zh-CN"/>
        </w:rPr>
        <w:t>km</w:t>
      </w:r>
      <w:r>
        <w:rPr>
          <w:rFonts w:hint="eastAsia" w:ascii="Times New Roman" w:hAnsi="Times New Roman" w:eastAsia="宋体" w:cs="Times New Roman"/>
          <w:sz w:val="28"/>
          <w:szCs w:val="28"/>
          <w:vertAlign w:val="superscript"/>
          <w:lang w:val="en-US" w:eastAsia="zh-CN"/>
        </w:rPr>
        <w:t>2</w:t>
      </w:r>
      <w:r>
        <w:rPr>
          <w:rFonts w:hint="default" w:ascii="Times New Roman" w:hAnsi="Times New Roman" w:eastAsia="宋体" w:cs="Times New Roman"/>
          <w:sz w:val="28"/>
          <w:szCs w:val="28"/>
        </w:rPr>
        <w:t>，开采深度+***m～+***m；湖南省地质灾害调查监测所于2023年11月在拟设矿区范围基础上编制提交了《湖南省汨罗市梅树湾矿区建筑用花岗岩矿资源储量核实报告》，评审号为（岳评审〔2023〕30号），采矿权范围内建筑用花岗岩矿控制资源量总计***万t（***万</w:t>
      </w:r>
      <w:r>
        <w:rPr>
          <w:rFonts w:hint="default" w:ascii="Times New Roman" w:hAnsi="Times New Roman" w:eastAsia="宋体" w:cs="Times New Roman"/>
          <w:sz w:val="28"/>
          <w:szCs w:val="28"/>
          <w:lang w:eastAsia="zh-CN"/>
        </w:rPr>
        <w:t>m³</w:t>
      </w:r>
      <w:r>
        <w:rPr>
          <w:rFonts w:hint="default" w:ascii="Times New Roman" w:hAnsi="Times New Roman" w:eastAsia="宋体" w:cs="Times New Roman"/>
          <w:sz w:val="28"/>
          <w:szCs w:val="28"/>
        </w:rPr>
        <w:t>）；中化地质矿山总局湖南地质勘查院于2023年11月编制了《湖南省汨罗市梅树湾矿区建筑用花岗岩矿资源开发利用方案》，评审号为（岳矿开发评字〔2023〕03号），方案确定矿区可采资源量为***万t（***万</w:t>
      </w:r>
      <w:r>
        <w:rPr>
          <w:rFonts w:hint="default" w:ascii="Times New Roman" w:hAnsi="Times New Roman" w:eastAsia="宋体" w:cs="Times New Roman"/>
          <w:sz w:val="28"/>
          <w:szCs w:val="28"/>
          <w:lang w:eastAsia="zh-CN"/>
        </w:rPr>
        <w:t>m³</w:t>
      </w:r>
      <w:r>
        <w:rPr>
          <w:rFonts w:hint="default" w:ascii="Times New Roman" w:hAnsi="Times New Roman" w:eastAsia="宋体" w:cs="Times New Roman"/>
          <w:sz w:val="28"/>
          <w:szCs w:val="28"/>
        </w:rPr>
        <w:t>）；湖南长理设计咨询有限公司于2023年12月编制了《湖南省汨罗市梅树湾建筑用花岗岩矿土地使用方案》，对矿山使用土地的情况进行了合理的建议与安排，明确了矿山建设范围包括拟设矿权范围（露天开采区）、工业广场、排土场及拟建道路，总面积***公顷。2024年</w:t>
      </w: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月</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岳阳市自然资源和规划局</w:t>
      </w:r>
      <w:r>
        <w:rPr>
          <w:rFonts w:hint="default" w:ascii="Times New Roman" w:hAnsi="Times New Roman" w:eastAsia="宋体" w:cs="Times New Roman"/>
          <w:sz w:val="28"/>
          <w:szCs w:val="28"/>
          <w:lang w:val="en-US" w:eastAsia="zh-CN"/>
        </w:rPr>
        <w:t>对湖南省汨罗市神鼎山镇梅树湾矿区建筑用花岗岩矿</w:t>
      </w:r>
      <w:r>
        <w:rPr>
          <w:rFonts w:hint="default" w:ascii="Times New Roman" w:hAnsi="Times New Roman" w:eastAsia="宋体" w:cs="Times New Roman"/>
          <w:sz w:val="28"/>
          <w:szCs w:val="28"/>
          <w:lang w:eastAsia="zh-CN"/>
        </w:rPr>
        <w:t>实施网上挂牌交易方式出让，</w:t>
      </w:r>
      <w:r>
        <w:rPr>
          <w:rFonts w:hint="default" w:ascii="Times New Roman" w:hAnsi="Times New Roman" w:eastAsia="宋体" w:cs="Times New Roman"/>
          <w:sz w:val="28"/>
          <w:szCs w:val="28"/>
          <w:lang w:val="en-US" w:eastAsia="zh-CN"/>
        </w:rPr>
        <w:t>汨罗市产业发展有限责任公司竞得了该采矿权。</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根据《关于进一步加强新建和生产矿山生态保护修复工作的通知》（湘自资办发〔2021〕39号）的要求，采矿权人汨罗市产业发展有限责任公司为了做好矿山生态保护修复工作，特委托江西省勘察设计研究院有限公司（以下简称“我公司”）编制《湖南省汨罗市梅树湾建筑用花岗岩矿矿山生态保护修复方案》。</w:t>
      </w:r>
    </w:p>
    <w:p>
      <w:pPr>
        <w:spacing w:line="360" w:lineRule="auto"/>
        <w:ind w:firstLine="562" w:firstLineChars="2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（二）目的任务</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方案》编制的主要目的是通过矿山自然环境、生态环境、社会经济环境等调查，制定矿山企业在建设、开发、闭坑阶段的矿山生态保护修复方案，落实矿山企业对矿山生态保护修复义务，为矿山企业实施矿山生态保护修复提供技术支撑，为矿山制定年度生态保护修复计划、年度基金计提计划提供主要依据，并为政府行政主管部门对矿山生态保护修复的有效监督管理提供依据。主要任务为：</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①开展矿山生态环境调查，查明矿区生态环境背景（自然环境、地质环境、生物环境和人居环境）。</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②对矿山生态问题识别和诊断，提出矿山生态保护修复思路与措施。</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③确定生态保护修复实施内容和进度安排。</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④对矿山生态保护修复工程经费进行估算，明确基金管理与使用具体办法。</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⑤制定生态保护修复保障措施，对进行矿山生态保护修复方案可行性分析，确定矿山开采是否影响矿区局部生态系统的生态功能，并提出合理化建议。</w:t>
      </w:r>
    </w:p>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w:t>
      </w:r>
      <w:r>
        <w:rPr>
          <w:rFonts w:hint="default" w:ascii="Times New Roman" w:hAnsi="Times New Roman" w:eastAsia="宋体" w:cs="Times New Roman"/>
          <w:b/>
          <w:bCs/>
          <w:sz w:val="28"/>
          <w:szCs w:val="28"/>
          <w:lang w:val="en-US" w:eastAsia="zh-CN"/>
        </w:rPr>
        <w:t>三</w:t>
      </w:r>
      <w:r>
        <w:rPr>
          <w:rFonts w:hint="default" w:ascii="Times New Roman" w:hAnsi="Times New Roman" w:eastAsia="宋体" w:cs="Times New Roman"/>
          <w:b/>
          <w:bCs/>
          <w:sz w:val="28"/>
          <w:szCs w:val="28"/>
        </w:rPr>
        <w:t>）</w:t>
      </w:r>
      <w:r>
        <w:rPr>
          <w:rFonts w:hint="default" w:ascii="Times New Roman" w:hAnsi="Times New Roman" w:eastAsia="宋体" w:cs="Times New Roman"/>
          <w:b/>
          <w:bCs/>
          <w:sz w:val="28"/>
          <w:szCs w:val="28"/>
          <w:lang w:val="en-US" w:eastAsia="zh-CN"/>
        </w:rPr>
        <w:t>方案</w:t>
      </w:r>
      <w:r>
        <w:rPr>
          <w:rFonts w:hint="default" w:ascii="Times New Roman" w:hAnsi="Times New Roman" w:eastAsia="宋体" w:cs="Times New Roman"/>
          <w:b/>
          <w:bCs/>
          <w:sz w:val="28"/>
          <w:szCs w:val="28"/>
        </w:rPr>
        <w:t>编制依据</w:t>
      </w:r>
    </w:p>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1、法律法规</w:t>
      </w:r>
    </w:p>
    <w:p>
      <w:pPr>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（1）《中华人民共和国矿产资源法》（2009年修正）；</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（2）《中华人民共和国森林法》（2019年修订）；</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（3）《中华人民共和国水土保持法》（2010年修订）；</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（4）《中华人民共和国环境保护法》（2014年修订）；</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（5）《中华人民共和国土地管理法》（2019年修正）；</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（6）《地质灾害防治条例》国务院令（2003年）第394号；</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（7）《土地复垦条例》国务院令（2011年）第592号；</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（8）《中华人民共和国土地管理法实施条例》（20</w:t>
      </w:r>
      <w:r>
        <w:rPr>
          <w:rFonts w:hint="eastAsia" w:ascii="Times New Roman" w:hAnsi="Times New Roman" w:eastAsia="宋体" w:cs="Times New Roman"/>
          <w:sz w:val="28"/>
          <w:szCs w:val="28"/>
          <w:lang w:val="en-US" w:eastAsia="zh-CN"/>
        </w:rPr>
        <w:t>21</w:t>
      </w:r>
      <w:r>
        <w:rPr>
          <w:rFonts w:hint="default" w:ascii="Times New Roman" w:hAnsi="Times New Roman" w:eastAsia="宋体" w:cs="Times New Roman"/>
          <w:sz w:val="28"/>
          <w:szCs w:val="28"/>
        </w:rPr>
        <w:t>年</w:t>
      </w:r>
      <w:r>
        <w:rPr>
          <w:rFonts w:hint="eastAsia" w:ascii="Times New Roman" w:hAnsi="Times New Roman" w:eastAsia="宋体" w:cs="Times New Roman"/>
          <w:sz w:val="28"/>
          <w:szCs w:val="28"/>
          <w:lang w:val="en-US" w:eastAsia="zh-CN"/>
        </w:rPr>
        <w:t>7月修订</w:t>
      </w:r>
      <w:r>
        <w:rPr>
          <w:rFonts w:hint="default" w:ascii="Times New Roman" w:hAnsi="Times New Roman" w:eastAsia="宋体" w:cs="Times New Roman"/>
          <w:sz w:val="28"/>
          <w:szCs w:val="28"/>
        </w:rPr>
        <w:t>）；</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（9）《湖南省土地复垦实施办法》（2003年）；</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（10）《湖南省土地整理条例》（2006年）；</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（11）《湖南省林业条例》（2012年修正）；</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（12）《湖南省地质环境保护条例》（2018年修订）；</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（13）《矿山地质环境保护规定》自然资源部令（2019年）第5号。</w:t>
      </w:r>
    </w:p>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2、政策文件</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r>
        <w:rPr>
          <w:rFonts w:hint="eastAsia"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）《关于加强和改进土地开发整理工作的通知》（国土资发〔2005〕29号）；</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r>
        <w:rPr>
          <w:rFonts w:hint="eastAsia"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）《关于组织土地复垦方案编报和审查有关问题的通知》（国土资发〔2007〕81号）；</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r>
        <w:rPr>
          <w:rFonts w:hint="eastAsia"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rPr>
        <w:t>）《国务院关于促进集约节约用地的通知》（国土资发〔2008〕3号）；</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r>
        <w:rPr>
          <w:rFonts w:hint="eastAsia"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rPr>
        <w:t>）《关于精简采矿权审批相关矿山地质环境资料的通知》（湘国土资发〔2010〕13号）；</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r>
        <w:rPr>
          <w:rFonts w:hint="eastAsia" w:ascii="Times New Roman" w:hAnsi="Times New Roman" w:eastAsia="宋体" w:cs="Times New Roman"/>
          <w:sz w:val="28"/>
          <w:szCs w:val="28"/>
          <w:lang w:val="en-US" w:eastAsia="zh-CN"/>
        </w:rPr>
        <w:t>5</w:t>
      </w:r>
      <w:r>
        <w:rPr>
          <w:rFonts w:hint="default" w:ascii="Times New Roman" w:hAnsi="Times New Roman" w:eastAsia="宋体" w:cs="Times New Roman"/>
          <w:sz w:val="28"/>
          <w:szCs w:val="28"/>
        </w:rPr>
        <w:t>）《关于加快建设绿色矿山的实施意见》（国土资规﹝2017﹞4号）；</w:t>
      </w:r>
    </w:p>
    <w:p>
      <w:pPr>
        <w:spacing w:line="360" w:lineRule="auto"/>
        <w:ind w:firstLine="560" w:firstLineChars="200"/>
        <w:rPr>
          <w:rFonts w:hint="default" w:ascii="Times New Roman" w:hAnsi="Times New Roman" w:eastAsia="宋体" w:cs="Times New Roman"/>
          <w:sz w:val="28"/>
          <w:szCs w:val="28"/>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6</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自然资源部 生态环境部 财政部 国家市场监督管理总局国家金融监督管理总局 中国证券监督管理委员会 国家林业和草原局关于进一步加强绿色矿山建设的通知</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自然资规〔2024〕1号</w:t>
      </w:r>
      <w:r>
        <w:rPr>
          <w:rFonts w:hint="eastAsia" w:ascii="Times New Roman" w:hAnsi="Times New Roman" w:eastAsia="宋体" w:cs="Times New Roman"/>
          <w:sz w:val="28"/>
          <w:szCs w:val="28"/>
          <w:lang w:eastAsia="zh-CN"/>
        </w:rPr>
        <w:t>）；</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（7）《湖南省绿色矿山建设工作方案》（湘国土资发）﹝2018﹞5号；</w:t>
      </w:r>
    </w:p>
    <w:p>
      <w:pPr>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（8）《湖南省绿色矿山管理办法》（湘自然资规〔2019〕4号）；</w:t>
      </w:r>
    </w:p>
    <w:p>
      <w:pPr>
        <w:spacing w:line="360" w:lineRule="auto"/>
        <w:ind w:firstLine="560" w:firstLineChars="200"/>
        <w:rPr>
          <w:rFonts w:hint="eastAsia" w:ascii="Times New Roman" w:hAnsi="Times New Roman" w:eastAsia="宋体" w:cs="Times New Roman"/>
          <w:sz w:val="28"/>
          <w:szCs w:val="28"/>
          <w:highlight w:val="none"/>
          <w:lang w:eastAsia="zh-CN"/>
        </w:rPr>
      </w:pPr>
      <w:r>
        <w:rPr>
          <w:rFonts w:hint="eastAsia" w:ascii="Times New Roman" w:hAnsi="Times New Roman" w:eastAsia="宋体" w:cs="Times New Roman"/>
          <w:sz w:val="28"/>
          <w:szCs w:val="28"/>
          <w:highlight w:val="none"/>
          <w:lang w:eastAsia="zh-CN"/>
        </w:rPr>
        <w:t>（</w:t>
      </w:r>
      <w:r>
        <w:rPr>
          <w:rFonts w:hint="eastAsia" w:ascii="Times New Roman" w:hAnsi="Times New Roman" w:eastAsia="宋体" w:cs="Times New Roman"/>
          <w:sz w:val="28"/>
          <w:szCs w:val="28"/>
          <w:highlight w:val="none"/>
          <w:lang w:val="en-US" w:eastAsia="zh-CN"/>
        </w:rPr>
        <w:t>9</w:t>
      </w:r>
      <w:r>
        <w:rPr>
          <w:rFonts w:hint="eastAsia" w:ascii="Times New Roman" w:hAnsi="Times New Roman" w:eastAsia="宋体" w:cs="Times New Roman"/>
          <w:sz w:val="28"/>
          <w:szCs w:val="28"/>
          <w:highlight w:val="none"/>
          <w:lang w:eastAsia="zh-CN"/>
        </w:rPr>
        <w:t>）</w:t>
      </w:r>
      <w:r>
        <w:rPr>
          <w:rFonts w:hint="default" w:ascii="Times New Roman" w:hAnsi="Times New Roman" w:eastAsia="宋体" w:cs="Times New Roman"/>
          <w:sz w:val="28"/>
          <w:szCs w:val="28"/>
          <w:highlight w:val="none"/>
        </w:rPr>
        <w:t>《湖南省绿色矿山标准（试行）》（湘自然资发〔2019〕23号）</w:t>
      </w:r>
      <w:r>
        <w:rPr>
          <w:rFonts w:hint="eastAsia" w:ascii="Times New Roman" w:hAnsi="Times New Roman" w:eastAsia="宋体" w:cs="Times New Roman"/>
          <w:sz w:val="28"/>
          <w:szCs w:val="28"/>
          <w:highlight w:val="none"/>
          <w:lang w:eastAsia="zh-CN"/>
        </w:rPr>
        <w:t>；</w:t>
      </w:r>
    </w:p>
    <w:p>
      <w:pPr>
        <w:spacing w:line="360" w:lineRule="auto"/>
        <w:ind w:firstLine="560" w:firstLineChars="200"/>
        <w:rPr>
          <w:rFonts w:hint="eastAsia" w:ascii="Times New Roman" w:hAnsi="Times New Roman" w:eastAsia="宋体" w:cs="Times New Roman"/>
          <w:sz w:val="28"/>
          <w:szCs w:val="28"/>
          <w:highlight w:val="none"/>
          <w:lang w:eastAsia="zh-CN"/>
        </w:rPr>
      </w:pPr>
      <w:r>
        <w:rPr>
          <w:rFonts w:hint="eastAsia" w:ascii="Times New Roman" w:hAnsi="Times New Roman" w:eastAsia="宋体" w:cs="Times New Roman"/>
          <w:sz w:val="28"/>
          <w:szCs w:val="28"/>
          <w:highlight w:val="none"/>
          <w:lang w:eastAsia="zh-CN"/>
        </w:rPr>
        <w:t>（</w:t>
      </w:r>
      <w:r>
        <w:rPr>
          <w:rFonts w:hint="eastAsia" w:ascii="Times New Roman" w:hAnsi="Times New Roman" w:eastAsia="宋体" w:cs="Times New Roman"/>
          <w:sz w:val="28"/>
          <w:szCs w:val="28"/>
          <w:highlight w:val="none"/>
          <w:lang w:val="en-US" w:eastAsia="zh-CN"/>
        </w:rPr>
        <w:t>10</w:t>
      </w:r>
      <w:r>
        <w:rPr>
          <w:rFonts w:hint="eastAsia" w:ascii="Times New Roman" w:hAnsi="Times New Roman" w:eastAsia="宋体" w:cs="Times New Roman"/>
          <w:sz w:val="28"/>
          <w:szCs w:val="28"/>
          <w:highlight w:val="none"/>
          <w:lang w:eastAsia="zh-CN"/>
        </w:rPr>
        <w:t>）《</w:t>
      </w:r>
      <w:r>
        <w:rPr>
          <w:rFonts w:hint="eastAsia" w:ascii="Times New Roman" w:hAnsi="Times New Roman" w:eastAsia="宋体" w:cs="Times New Roman"/>
          <w:sz w:val="28"/>
          <w:szCs w:val="28"/>
          <w:highlight w:val="none"/>
          <w:lang w:val="en-US" w:eastAsia="zh-CN"/>
        </w:rPr>
        <w:t>关于完善绿色矿山建设要求的通知</w:t>
      </w:r>
      <w:r>
        <w:rPr>
          <w:rFonts w:hint="eastAsia" w:ascii="Times New Roman" w:hAnsi="Times New Roman" w:eastAsia="宋体" w:cs="Times New Roman"/>
          <w:sz w:val="28"/>
          <w:szCs w:val="28"/>
          <w:highlight w:val="none"/>
          <w:lang w:eastAsia="zh-CN"/>
        </w:rPr>
        <w:t>》（</w:t>
      </w:r>
      <w:r>
        <w:rPr>
          <w:rFonts w:hint="eastAsia" w:ascii="Times New Roman" w:hAnsi="Times New Roman" w:eastAsia="宋体" w:cs="Times New Roman"/>
          <w:sz w:val="28"/>
          <w:szCs w:val="28"/>
          <w:highlight w:val="none"/>
          <w:lang w:val="en-US" w:eastAsia="zh-CN"/>
        </w:rPr>
        <w:t>湘自资〔2021〕48号</w:t>
      </w:r>
      <w:r>
        <w:rPr>
          <w:rFonts w:hint="eastAsia" w:ascii="Times New Roman" w:hAnsi="Times New Roman" w:eastAsia="宋体" w:cs="Times New Roman"/>
          <w:sz w:val="28"/>
          <w:szCs w:val="28"/>
          <w:highlight w:val="none"/>
          <w:lang w:eastAsia="zh-CN"/>
        </w:rPr>
        <w:t>）；</w:t>
      </w:r>
    </w:p>
    <w:p>
      <w:pPr>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w:t>
      </w:r>
      <w:r>
        <w:rPr>
          <w:rFonts w:hint="eastAsia" w:ascii="Times New Roman" w:hAnsi="Times New Roman" w:eastAsia="宋体" w:cs="Times New Roman"/>
          <w:sz w:val="28"/>
          <w:szCs w:val="28"/>
          <w:highlight w:val="none"/>
          <w:lang w:val="en-US" w:eastAsia="zh-CN"/>
        </w:rPr>
        <w:t>11</w:t>
      </w:r>
      <w:r>
        <w:rPr>
          <w:rFonts w:hint="default" w:ascii="Times New Roman" w:hAnsi="Times New Roman" w:eastAsia="宋体" w:cs="Times New Roman"/>
          <w:sz w:val="28"/>
          <w:szCs w:val="28"/>
          <w:highlight w:val="none"/>
        </w:rPr>
        <w:t>）《湖南省矿山生态修复基金管理办法》（湘自资规〔2022〕3）号；</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r>
        <w:rPr>
          <w:rFonts w:hint="eastAsia"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）湖南省人民政府办公厅关于全面推动矿业绿色发展的若干意见（湘政办发〔2019〕71号）；</w:t>
      </w:r>
    </w:p>
    <w:p>
      <w:pPr>
        <w:spacing w:line="360" w:lineRule="auto"/>
        <w:ind w:firstLine="560" w:firstLineChars="20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rPr>
        <w:t>（1</w:t>
      </w:r>
      <w:r>
        <w:rPr>
          <w:rFonts w:hint="eastAsia"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rPr>
        <w:t>）《湖南省自然资源厅办公室关于进一步加强新建和生产矿山生态保护修复工程的通知》（湘自资办发〔2021〕39号）</w:t>
      </w:r>
      <w:r>
        <w:rPr>
          <w:rFonts w:hint="default" w:ascii="Times New Roman" w:hAnsi="Times New Roman" w:eastAsia="宋体" w:cs="Times New Roman"/>
          <w:sz w:val="28"/>
          <w:szCs w:val="28"/>
          <w:lang w:eastAsia="zh-CN"/>
        </w:rPr>
        <w:t>；</w:t>
      </w:r>
    </w:p>
    <w:p>
      <w:pPr>
        <w:spacing w:line="360" w:lineRule="auto"/>
        <w:ind w:firstLine="560" w:firstLineChars="200"/>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（1</w:t>
      </w:r>
      <w:r>
        <w:rPr>
          <w:rFonts w:hint="eastAsia"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lang w:val="en-US" w:eastAsia="zh-CN"/>
        </w:rPr>
        <w:t>）《湖南省采矿项目用地管理指导意见（试行）》（湘自资发〔2023〕37号）</w:t>
      </w:r>
      <w:r>
        <w:rPr>
          <w:rFonts w:hint="eastAsia" w:ascii="Times New Roman" w:hAnsi="Times New Roman" w:eastAsia="宋体" w:cs="Times New Roman"/>
          <w:sz w:val="28"/>
          <w:szCs w:val="28"/>
          <w:lang w:val="en-US" w:eastAsia="zh-CN"/>
        </w:rPr>
        <w:t>；</w:t>
      </w:r>
    </w:p>
    <w:p>
      <w:pPr>
        <w:spacing w:line="360" w:lineRule="auto"/>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（15）《湖南省人民政府办公厅关于切实提高矿产资源保障能力深入推进矿业绿色高质量发展的若干意见》（湘政办发〔2023〕41号）。</w:t>
      </w:r>
    </w:p>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3、规范规程</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（1）《地质灾害防治工程勘察规范》（DB50/143-2018）；</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（2）《开发建设项目水土保持技术规范》（GB50433-2008）；</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rPr>
        <w:t>《水土保持综合治理技术规范沟壑治理技术》（GB/T16453.3-2008）；</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（4）《地表水环境质量标准》（GB3838-20</w:t>
      </w: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2）；</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（5）《给水排水工程构筑物结构设计规范》（GB50069-2002）；</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（6）《土地复垦质量控制标准》（TD/T1036—2013）；</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（7）《造林技术规程》（GB/T 15776-2023）；</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val="en-US" w:eastAsia="zh-CN"/>
        </w:rPr>
        <w:t>8</w:t>
      </w:r>
      <w:r>
        <w:rPr>
          <w:rFonts w:hint="default" w:ascii="Times New Roman" w:hAnsi="Times New Roman" w:eastAsia="宋体" w:cs="Times New Roman"/>
          <w:sz w:val="28"/>
          <w:szCs w:val="28"/>
        </w:rPr>
        <w:t>）《湖南省土地开发整理项目预算补充定额标准（试行）》（湘财建﹝2014﹞22号）；</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val="en-US" w:eastAsia="zh-CN"/>
        </w:rPr>
        <w:t>9</w:t>
      </w:r>
      <w:r>
        <w:rPr>
          <w:rFonts w:hint="default" w:ascii="Times New Roman" w:hAnsi="Times New Roman" w:eastAsia="宋体" w:cs="Times New Roman"/>
          <w:sz w:val="28"/>
          <w:szCs w:val="28"/>
        </w:rPr>
        <w:t>）《土壤环境质量农用地土壤污染风险管控标准》（试行）（GB15618-2018）；</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lang w:val="en-US" w:eastAsia="zh-CN"/>
        </w:rPr>
        <w:t>0</w:t>
      </w:r>
      <w:r>
        <w:rPr>
          <w:rFonts w:hint="default" w:ascii="Times New Roman" w:hAnsi="Times New Roman" w:eastAsia="宋体" w:cs="Times New Roman"/>
          <w:sz w:val="28"/>
          <w:szCs w:val="28"/>
        </w:rPr>
        <w:t>）《矿山地质环境保护与恢复治理验收标准》（DB431393-2018）；</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）《砂石行业绿色矿山建设规范》（DZ/T0316-2018）；</w:t>
      </w:r>
    </w:p>
    <w:p>
      <w:pPr>
        <w:spacing w:line="360" w:lineRule="auto"/>
        <w:ind w:firstLine="560" w:firstLineChars="20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12</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《湖南省砂石行业绿色矿山标准</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试行</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eastAsia="zh-CN"/>
        </w:rPr>
        <w:t>；</w:t>
      </w:r>
    </w:p>
    <w:p>
      <w:pPr>
        <w:spacing w:line="360" w:lineRule="auto"/>
        <w:ind w:firstLine="560" w:firstLineChars="20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13</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《建筑材料矿绿色矿山标准》（DB43/T1885-2020）</w:t>
      </w:r>
      <w:r>
        <w:rPr>
          <w:rFonts w:hint="default" w:ascii="Times New Roman" w:hAnsi="Times New Roman" w:eastAsia="宋体" w:cs="Times New Roman"/>
          <w:sz w:val="28"/>
          <w:szCs w:val="28"/>
          <w:lang w:eastAsia="zh-CN"/>
        </w:rPr>
        <w:t>；</w:t>
      </w:r>
    </w:p>
    <w:p>
      <w:pPr>
        <w:spacing w:line="360" w:lineRule="auto"/>
        <w:ind w:firstLine="560" w:firstLineChars="20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14</w:t>
      </w:r>
      <w:r>
        <w:rPr>
          <w:rFonts w:hint="default" w:ascii="Times New Roman" w:hAnsi="Times New Roman" w:eastAsia="宋体" w:cs="Times New Roman"/>
          <w:sz w:val="28"/>
          <w:szCs w:val="28"/>
          <w:lang w:eastAsia="zh-CN"/>
        </w:rPr>
        <w:t>）《矿山边坡生态修复技术标准》（DB43/T 2057-2021）；</w:t>
      </w:r>
    </w:p>
    <w:p>
      <w:pPr>
        <w:spacing w:line="360" w:lineRule="auto"/>
        <w:ind w:firstLine="560" w:firstLineChars="20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val="en-US" w:eastAsia="zh-CN"/>
        </w:rPr>
        <w:t>（15）</w:t>
      </w:r>
      <w:r>
        <w:rPr>
          <w:rFonts w:hint="default" w:ascii="Times New Roman" w:hAnsi="Times New Roman" w:eastAsia="宋体" w:cs="Times New Roman"/>
          <w:sz w:val="28"/>
          <w:szCs w:val="28"/>
          <w:lang w:eastAsia="zh-CN"/>
        </w:rPr>
        <w:t>《矿山生态修复技术规范 第4部分：建材矿山》（TD/T 1070.4-2022）；</w:t>
      </w:r>
    </w:p>
    <w:p>
      <w:pPr>
        <w:numPr>
          <w:ilvl w:val="0"/>
          <w:numId w:val="0"/>
        </w:numPr>
        <w:spacing w:line="360" w:lineRule="auto"/>
        <w:ind w:firstLine="560" w:firstLineChars="200"/>
        <w:rPr>
          <w:rFonts w:hint="default" w:ascii="Times New Roman" w:hAnsi="Times New Roman" w:eastAsia="宋体" w:cs="Times New Roman"/>
          <w:sz w:val="28"/>
          <w:szCs w:val="28"/>
          <w:lang w:eastAsia="zh-CN"/>
        </w:rPr>
      </w:pPr>
      <w:r>
        <w:rPr>
          <w:rFonts w:hint="default" w:ascii="Times New Roman" w:hAnsi="Times New Roman" w:eastAsia="宋体" w:cs="Times New Roman"/>
          <w:kern w:val="2"/>
          <w:sz w:val="28"/>
          <w:szCs w:val="28"/>
          <w:lang w:val="en-US" w:eastAsia="zh-CN" w:bidi="ar-SA"/>
        </w:rPr>
        <w:t>（16）</w:t>
      </w:r>
      <w:r>
        <w:rPr>
          <w:rFonts w:hint="default" w:ascii="Times New Roman" w:hAnsi="Times New Roman" w:eastAsia="宋体" w:cs="Times New Roman"/>
          <w:sz w:val="28"/>
          <w:szCs w:val="28"/>
        </w:rPr>
        <w:t>《矿山生态保护修复方案编制规范》（DB43/T2298-2022）</w:t>
      </w:r>
      <w:r>
        <w:rPr>
          <w:rFonts w:hint="default" w:ascii="Times New Roman" w:hAnsi="Times New Roman" w:eastAsia="宋体" w:cs="Times New Roman"/>
          <w:sz w:val="28"/>
          <w:szCs w:val="28"/>
          <w:lang w:eastAsia="zh-CN"/>
        </w:rPr>
        <w:t>。</w:t>
      </w:r>
    </w:p>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4、其他相关资料</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r>
        <w:rPr>
          <w:rFonts w:hint="eastAsia"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）《汨罗市普通建筑材料用砂石土矿专项规划（2019～2025年）》；</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r>
        <w:rPr>
          <w:rFonts w:hint="eastAsia"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）《汨罗市国土空间总体规划（2021</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2035年</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》（报批稿）；</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r>
        <w:rPr>
          <w:rFonts w:hint="eastAsia"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rPr>
        <w:t>）《汨罗市国土空间生态修复规划（2021</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2035年</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r>
        <w:rPr>
          <w:rFonts w:hint="eastAsia"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rPr>
        <w:t>）《湖南省汨罗市梅树湾矿区建筑用花岗岩矿勘查报告》；</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r>
        <w:rPr>
          <w:rFonts w:hint="eastAsia" w:ascii="Times New Roman" w:hAnsi="Times New Roman" w:eastAsia="宋体" w:cs="Times New Roman"/>
          <w:sz w:val="28"/>
          <w:szCs w:val="28"/>
          <w:lang w:val="en-US" w:eastAsia="zh-CN"/>
        </w:rPr>
        <w:t>5</w:t>
      </w:r>
      <w:r>
        <w:rPr>
          <w:rFonts w:hint="default" w:ascii="Times New Roman" w:hAnsi="Times New Roman" w:eastAsia="宋体" w:cs="Times New Roman"/>
          <w:sz w:val="28"/>
          <w:szCs w:val="28"/>
        </w:rPr>
        <w:t>）《湖南省汨罗市梅树湾矿区建筑用花岗岩矿采矿权申请范围核查报告》；</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r>
        <w:rPr>
          <w:rFonts w:hint="eastAsia" w:ascii="Times New Roman" w:hAnsi="Times New Roman" w:eastAsia="宋体" w:cs="Times New Roman"/>
          <w:sz w:val="28"/>
          <w:szCs w:val="28"/>
          <w:lang w:val="en-US" w:eastAsia="zh-CN"/>
        </w:rPr>
        <w:t>6</w:t>
      </w:r>
      <w:r>
        <w:rPr>
          <w:rFonts w:hint="default" w:ascii="Times New Roman" w:hAnsi="Times New Roman" w:eastAsia="宋体" w:cs="Times New Roman"/>
          <w:sz w:val="28"/>
          <w:szCs w:val="28"/>
        </w:rPr>
        <w:t>）《湖南省汨罗市梅树湾矿区建筑用花岗岩矿资源储量核实报告》；</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r>
        <w:rPr>
          <w:rFonts w:hint="eastAsia" w:ascii="Times New Roman" w:hAnsi="Times New Roman" w:eastAsia="宋体" w:cs="Times New Roman"/>
          <w:sz w:val="28"/>
          <w:szCs w:val="28"/>
          <w:lang w:val="en-US" w:eastAsia="zh-CN"/>
        </w:rPr>
        <w:t>7</w:t>
      </w:r>
      <w:r>
        <w:rPr>
          <w:rFonts w:hint="default" w:ascii="Times New Roman" w:hAnsi="Times New Roman" w:eastAsia="宋体" w:cs="Times New Roman"/>
          <w:sz w:val="28"/>
          <w:szCs w:val="28"/>
        </w:rPr>
        <w:t>）《湖南省汨罗市梅树湾矿区建筑用花岗岩矿资源开发利用方案》；</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r>
        <w:rPr>
          <w:rFonts w:hint="eastAsia" w:ascii="Times New Roman" w:hAnsi="Times New Roman" w:eastAsia="宋体" w:cs="Times New Roman"/>
          <w:sz w:val="28"/>
          <w:szCs w:val="28"/>
          <w:lang w:val="en-US" w:eastAsia="zh-CN"/>
        </w:rPr>
        <w:t>8</w:t>
      </w:r>
      <w:r>
        <w:rPr>
          <w:rFonts w:hint="default" w:ascii="Times New Roman" w:hAnsi="Times New Roman" w:eastAsia="宋体" w:cs="Times New Roman"/>
          <w:sz w:val="28"/>
          <w:szCs w:val="28"/>
        </w:rPr>
        <w:t>）《湖南省汨罗市梅树湾建筑用花岗岩矿土地使用方案》。</w:t>
      </w:r>
    </w:p>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（四）完成的工作量</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本次工作搜集资料包括有工程地质、水文地质及生态环境、人文、社会经济、自然地理和林业资源等资料，土地利用现状图、遥感影像图、相关规划等。</w:t>
      </w:r>
    </w:p>
    <w:p>
      <w:pPr>
        <w:spacing w:line="360" w:lineRule="auto"/>
        <w:ind w:firstLine="560" w:firstLineChars="200"/>
        <w:rPr>
          <w:rFonts w:hint="eastAsia" w:ascii="Times New Roman" w:hAnsi="Times New Roman" w:eastAsia="宋体" w:cs="Times New Roman"/>
          <w:sz w:val="28"/>
          <w:szCs w:val="28"/>
          <w:lang w:eastAsia="zh-CN"/>
        </w:rPr>
      </w:pPr>
      <w:r>
        <w:rPr>
          <w:rFonts w:hint="default" w:ascii="Times New Roman" w:hAnsi="Times New Roman" w:eastAsia="宋体" w:cs="Times New Roman"/>
          <w:sz w:val="28"/>
          <w:szCs w:val="28"/>
        </w:rPr>
        <w:t>野外实际调查识别内容包括地形地貌、地层、构造、矿床及矿床开发、地表水、人居环境、水资源及水环境、土地资源及土石环境、地质灾害、重要工程建设设施、矿山开采情况、矿区水文及工程地质情况、矿山生态环境破坏及保护修复情况，矿山交通情况等。通过资料收集与野外调查，基本查明了区内地质特征，基本查明了覆盖层、风化层及矿体的分布、规模、形态，基本查明了矿石的岩性、矿物组成、矿石类型、矿石质量、物理化学性质和利用方向，基本查明了矿区水文地质、工程地质、环境地质等开采技术条件，为本次工作奠定了良好的基础。具体工作量见下</w:t>
      </w:r>
      <w:r>
        <w:rPr>
          <w:rFonts w:hint="eastAsia" w:ascii="Times New Roman" w:hAnsi="Times New Roman" w:eastAsia="宋体" w:cs="Times New Roman"/>
          <w:sz w:val="28"/>
          <w:szCs w:val="28"/>
          <w:lang w:val="en-US" w:eastAsia="zh-CN"/>
        </w:rPr>
        <w:t>页</w:t>
      </w:r>
      <w:r>
        <w:rPr>
          <w:rFonts w:hint="default" w:ascii="Times New Roman" w:hAnsi="Times New Roman" w:eastAsia="宋体" w:cs="Times New Roman"/>
          <w:sz w:val="28"/>
          <w:szCs w:val="28"/>
        </w:rPr>
        <w:t>表</w:t>
      </w:r>
      <w:r>
        <w:rPr>
          <w:rFonts w:hint="eastAsia" w:ascii="Times New Roman" w:hAnsi="Times New Roman" w:eastAsia="宋体" w:cs="Times New Roman"/>
          <w:sz w:val="28"/>
          <w:szCs w:val="28"/>
          <w:lang w:eastAsia="zh-CN"/>
        </w:rPr>
        <w:t>。</w:t>
      </w:r>
    </w:p>
    <w:p>
      <w:pP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br w:type="page"/>
      </w:r>
    </w:p>
    <w:p>
      <w:pPr>
        <w:spacing w:line="360" w:lineRule="auto"/>
        <w:ind w:firstLine="482" w:firstLineChars="200"/>
        <w:jc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表1-1 完成工作量统计表</w:t>
      </w:r>
    </w:p>
    <w:tbl>
      <w:tblPr>
        <w:tblStyle w:val="13"/>
        <w:tblW w:w="0" w:type="auto"/>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3952"/>
        <w:gridCol w:w="974"/>
        <w:gridCol w:w="940"/>
        <w:gridCol w:w="1158"/>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PrEx>
        <w:trPr>
          <w:trHeight w:val="629" w:hRule="atLeast"/>
          <w:jc w:val="center"/>
        </w:trPr>
        <w:tc>
          <w:tcPr>
            <w:tcW w:w="1275"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b/>
                <w:szCs w:val="21"/>
              </w:rPr>
            </w:pPr>
            <w:r>
              <w:rPr>
                <w:rFonts w:hint="default" w:ascii="Times New Roman" w:hAnsi="Times New Roman" w:eastAsia="宋体" w:cs="Times New Roman"/>
                <w:b/>
                <w:szCs w:val="21"/>
              </w:rPr>
              <w:t>工作性质</w:t>
            </w: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b/>
                <w:szCs w:val="21"/>
              </w:rPr>
            </w:pPr>
            <w:r>
              <w:rPr>
                <w:rFonts w:hint="default" w:ascii="Times New Roman" w:hAnsi="Times New Roman" w:eastAsia="宋体" w:cs="Times New Roman"/>
                <w:b/>
                <w:szCs w:val="21"/>
              </w:rPr>
              <w:t>工作项目</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b/>
                <w:szCs w:val="21"/>
              </w:rPr>
            </w:pPr>
            <w:r>
              <w:rPr>
                <w:rFonts w:hint="default" w:ascii="Times New Roman" w:hAnsi="Times New Roman" w:eastAsia="宋体" w:cs="Times New Roman"/>
                <w:b/>
                <w:szCs w:val="21"/>
              </w:rPr>
              <w:t>单位</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b/>
                <w:szCs w:val="21"/>
              </w:rPr>
            </w:pPr>
            <w:r>
              <w:rPr>
                <w:rFonts w:hint="default" w:ascii="Times New Roman" w:hAnsi="Times New Roman" w:eastAsia="宋体" w:cs="Times New Roman"/>
                <w:b/>
                <w:szCs w:val="21"/>
              </w:rPr>
              <w:t>完成工作量</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b/>
                <w:szCs w:val="21"/>
              </w:rPr>
            </w:pPr>
            <w:r>
              <w:rPr>
                <w:rFonts w:hint="default" w:ascii="Times New Roman" w:hAnsi="Times New Roman" w:eastAsia="宋体" w:cs="Times New Roman"/>
                <w:b/>
                <w:szCs w:val="21"/>
              </w:rPr>
              <w:t>备注</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75" w:type="dxa"/>
            <w:vMerge w:val="restart"/>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资料收集</w:t>
            </w: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《湖南省汨罗市梅树湾矿区建筑用花岗岩矿勘查报告》</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份</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75" w:type="dxa"/>
            <w:vMerge w:val="continue"/>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《湖南省汨罗市梅树湾矿区建筑用花岗岩矿采矿权申请范围核查报告》</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份</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2023.11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75" w:type="dxa"/>
            <w:vMerge w:val="continue"/>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《湖南省汨罗市梅树湾矿区建筑用花岗岩矿资源储量核实报告》</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份</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2023.11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75" w:type="dxa"/>
            <w:vMerge w:val="continue"/>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《湖南省汨罗市梅树湾矿区建筑用花岗岩矿资源开发利用方案》</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份</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2023.11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75" w:type="dxa"/>
            <w:vMerge w:val="continue"/>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《湖南省汨罗市梅树湾建筑用花岗岩矿土地使用方案》</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份</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2023.12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275" w:type="dxa"/>
            <w:vMerge w:val="continue"/>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土地利用现状图</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份</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三调</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275" w:type="dxa"/>
            <w:vMerge w:val="continue"/>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三区三线</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份</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275" w:type="dxa"/>
            <w:vMerge w:val="continue"/>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水源保护地</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份</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275" w:type="dxa"/>
            <w:vMerge w:val="continue"/>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矿区范围内地形地质图</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份</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275" w:type="dxa"/>
            <w:vMerge w:val="restart"/>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野外调查</w:t>
            </w: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调查面积</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k</w:t>
            </w:r>
            <w:r>
              <w:rPr>
                <w:rFonts w:hint="default" w:ascii="Times New Roman" w:hAnsi="Times New Roman" w:eastAsia="宋体" w:cs="Times New Roman"/>
                <w:szCs w:val="21"/>
              </w:rPr>
              <w:t>m</w:t>
            </w:r>
            <w:r>
              <w:rPr>
                <w:rFonts w:hint="default" w:ascii="Times New Roman" w:hAnsi="Times New Roman" w:eastAsia="宋体" w:cs="Times New Roman"/>
                <w:szCs w:val="21"/>
                <w:vertAlign w:val="superscript"/>
                <w:lang w:val="en-US" w:eastAsia="zh-CN"/>
              </w:rPr>
              <w:t>2</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275" w:type="dxa"/>
            <w:vMerge w:val="continue"/>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调查路线长度</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km</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3</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275" w:type="dxa"/>
            <w:vMerge w:val="continue"/>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航测及遥感影像图</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k</w:t>
            </w:r>
            <w:r>
              <w:rPr>
                <w:rFonts w:hint="default" w:ascii="Times New Roman" w:hAnsi="Times New Roman" w:eastAsia="宋体" w:cs="Times New Roman"/>
                <w:szCs w:val="21"/>
              </w:rPr>
              <w:t>m</w:t>
            </w:r>
            <w:r>
              <w:rPr>
                <w:rFonts w:hint="default" w:ascii="Times New Roman" w:hAnsi="Times New Roman" w:eastAsia="宋体" w:cs="Times New Roman"/>
                <w:szCs w:val="21"/>
                <w:vertAlign w:val="superscript"/>
                <w:lang w:val="en-US" w:eastAsia="zh-CN"/>
              </w:rPr>
              <w:t>2</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275" w:type="dxa"/>
            <w:vMerge w:val="continue"/>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rPr>
              <w:t>调查</w:t>
            </w:r>
            <w:r>
              <w:rPr>
                <w:rFonts w:hint="default" w:ascii="Times New Roman" w:hAnsi="Times New Roman" w:eastAsia="宋体" w:cs="Times New Roman"/>
                <w:szCs w:val="21"/>
                <w:lang w:val="en-US" w:eastAsia="zh-CN"/>
              </w:rPr>
              <w:t>地质点</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个</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5</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275" w:type="dxa"/>
            <w:vMerge w:val="continue"/>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调查</w:t>
            </w:r>
            <w:r>
              <w:rPr>
                <w:rFonts w:hint="default" w:ascii="Times New Roman" w:hAnsi="Times New Roman" w:eastAsia="宋体" w:cs="Times New Roman"/>
                <w:szCs w:val="21"/>
                <w:lang w:val="en-US" w:eastAsia="zh-CN"/>
              </w:rPr>
              <w:t>工程地质点</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个</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3</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75" w:type="dxa"/>
            <w:vMerge w:val="continue"/>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调查地貌点</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处</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全部修复区</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275" w:type="dxa"/>
            <w:vMerge w:val="continue"/>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土壤植被点</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点</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3</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275" w:type="dxa"/>
            <w:vMerge w:val="continue"/>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工业广场</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处</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275" w:type="dxa"/>
            <w:vMerge w:val="continue"/>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排土场</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处</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275" w:type="dxa"/>
            <w:vMerge w:val="continue"/>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生态保护适用区内溪沟、堰塘及井泉</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条/座</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3</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275" w:type="dxa"/>
            <w:vMerge w:val="continue"/>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野外记录表</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份</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lang w:val="en-US" w:eastAsia="zh-CN"/>
              </w:rPr>
              <w:t>5</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275" w:type="dxa"/>
            <w:vMerge w:val="continue"/>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rPr>
              <w:t>野外</w:t>
            </w:r>
            <w:r>
              <w:rPr>
                <w:rFonts w:hint="default" w:ascii="Times New Roman" w:hAnsi="Times New Roman" w:eastAsia="宋体" w:cs="Times New Roman"/>
                <w:szCs w:val="21"/>
                <w:lang w:val="en-US" w:eastAsia="zh-CN"/>
              </w:rPr>
              <w:t>照片</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张</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35</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采用14张</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275" w:type="dxa"/>
            <w:vMerge w:val="continue"/>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调查民房</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栋</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13</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275" w:type="dxa"/>
            <w:vMerge w:val="continue"/>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调查群众意见</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份</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lang w:val="en-US" w:eastAsia="zh-CN"/>
              </w:rPr>
              <w:t>5</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275"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室内综合</w:t>
            </w:r>
          </w:p>
        </w:tc>
        <w:tc>
          <w:tcPr>
            <w:tcW w:w="3952"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编制矿山生态保护修复方案</w:t>
            </w:r>
          </w:p>
        </w:tc>
        <w:tc>
          <w:tcPr>
            <w:tcW w:w="974"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份</w:t>
            </w:r>
          </w:p>
        </w:tc>
        <w:tc>
          <w:tcPr>
            <w:tcW w:w="940"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w:t>
            </w:r>
          </w:p>
        </w:tc>
        <w:tc>
          <w:tcPr>
            <w:tcW w:w="1158" w:type="dxa"/>
            <w:tcMar>
              <w:top w:w="51" w:type="dxa"/>
              <w:left w:w="108" w:type="dxa"/>
              <w:bottom w:w="51" w:type="dxa"/>
              <w:right w:w="108" w:type="dxa"/>
            </w:tcMar>
            <w:vAlign w:val="center"/>
          </w:tcPr>
          <w:p>
            <w:pPr>
              <w:spacing w:line="0" w:lineRule="atLeas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附图3张</w:t>
            </w:r>
          </w:p>
        </w:tc>
      </w:tr>
    </w:tbl>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（五）矿山生态保护修复范围和方案服务年限</w:t>
      </w:r>
    </w:p>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1、矿山生态保护修复范围</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矿山生态保护修复范围应包括现状矿业活动已经造成影响及未来可能引起新的生态问题的分布范围。</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以划定的采矿权范围为基础，即本方案的适用范围涵盖了全部采矿权范围；以矿山的水文地质条件、工程地质条件为主要影响因素，考虑环境地质因素，以分水岭作为划分依据；以矿山的生态环境作为控制因素，主要考虑植被分布情况、农耕地分布情况、人居因素等，并结合矿山具体情况，确定生态修复区范围。（见附图）</w:t>
      </w:r>
    </w:p>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2、矿山生态保护修复方案服务年限</w:t>
      </w:r>
    </w:p>
    <w:p>
      <w:pPr>
        <w:spacing w:line="360" w:lineRule="auto"/>
        <w:ind w:firstLine="560" w:firstLineChars="200"/>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矿山生态保护修复方案服务年限应为矿产资源开发利用方案的剩余服务年限、矿山关闭后的生态保护修复工程实施年限及三年管护期之和</w:t>
      </w:r>
      <w:r>
        <w:rPr>
          <w:rFonts w:hint="default" w:ascii="Times New Roman" w:hAnsi="Times New Roman" w:eastAsia="宋体" w:cs="Times New Roman"/>
          <w:b w:val="0"/>
          <w:bCs w:val="0"/>
          <w:sz w:val="28"/>
          <w:szCs w:val="28"/>
          <w:lang w:eastAsia="zh-CN"/>
        </w:rPr>
        <w:t>，</w:t>
      </w:r>
      <w:r>
        <w:rPr>
          <w:rFonts w:hint="default" w:ascii="Times New Roman" w:hAnsi="Times New Roman" w:eastAsia="宋体" w:cs="Times New Roman"/>
          <w:b w:val="0"/>
          <w:bCs w:val="0"/>
          <w:sz w:val="28"/>
          <w:szCs w:val="28"/>
          <w:lang w:val="en-US" w:eastAsia="zh-CN"/>
        </w:rPr>
        <w:t>由于本次矿山为新设矿权，考虑1年左右的筹建和基建时间</w:t>
      </w:r>
      <w:r>
        <w:rPr>
          <w:rFonts w:hint="default" w:ascii="Times New Roman" w:hAnsi="Times New Roman" w:eastAsia="宋体" w:cs="Times New Roman"/>
          <w:b w:val="0"/>
          <w:bCs w:val="0"/>
          <w:sz w:val="28"/>
          <w:szCs w:val="28"/>
        </w:rPr>
        <w:t>。</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根据《湖南省汨罗市梅树湾矿区建筑用花岗岩矿资源储量核实报告》，矿山建筑用花岗岩矿控制资源量***万t（***万m</w:t>
      </w:r>
      <w:r>
        <w:rPr>
          <w:rFonts w:hint="default" w:ascii="Times New Roman" w:hAnsi="Times New Roman" w:eastAsia="宋体" w:cs="Times New Roman"/>
          <w:sz w:val="28"/>
          <w:szCs w:val="28"/>
          <w:vertAlign w:val="superscript"/>
        </w:rPr>
        <w:t>3</w:t>
      </w:r>
      <w:r>
        <w:rPr>
          <w:rFonts w:hint="default" w:ascii="Times New Roman" w:hAnsi="Times New Roman" w:eastAsia="宋体" w:cs="Times New Roman"/>
          <w:sz w:val="28"/>
          <w:szCs w:val="28"/>
        </w:rPr>
        <w:t>），控制资源量可信系数***。根据《湖南省汨罗市梅树湾矿区建筑用花岗岩矿资源开发利用方案》，矿山采用上下分层台阶式露天开采，开采回采率为***%，矿区可采资源量为***万t（***万m</w:t>
      </w:r>
      <w:r>
        <w:rPr>
          <w:rFonts w:hint="default" w:ascii="Times New Roman" w:hAnsi="Times New Roman" w:eastAsia="宋体" w:cs="Times New Roman"/>
          <w:sz w:val="28"/>
          <w:szCs w:val="28"/>
          <w:vertAlign w:val="superscript"/>
        </w:rPr>
        <w:t>3</w:t>
      </w:r>
      <w:r>
        <w:rPr>
          <w:rFonts w:hint="default" w:ascii="Times New Roman" w:hAnsi="Times New Roman" w:eastAsia="宋体" w:cs="Times New Roman"/>
          <w:sz w:val="28"/>
          <w:szCs w:val="28"/>
        </w:rPr>
        <w:t>），矿山设计生产规模为***万m</w:t>
      </w:r>
      <w:r>
        <w:rPr>
          <w:rFonts w:hint="default" w:ascii="Times New Roman" w:hAnsi="Times New Roman" w:eastAsia="宋体" w:cs="Times New Roman"/>
          <w:sz w:val="28"/>
          <w:szCs w:val="28"/>
          <w:vertAlign w:val="superscript"/>
        </w:rPr>
        <w:t>3</w:t>
      </w:r>
      <w:r>
        <w:rPr>
          <w:rFonts w:hint="default" w:ascii="Times New Roman" w:hAnsi="Times New Roman" w:eastAsia="宋体" w:cs="Times New Roman"/>
          <w:sz w:val="28"/>
          <w:szCs w:val="28"/>
        </w:rPr>
        <w:t>/a（***万t/a），则矿山剩余服务年限为***年。</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根据闭坑后矿山生态保护修复工作期1年估算，生态修复的土地复垦工程完成后3年内为绿化管护期。</w:t>
      </w:r>
      <w:r>
        <w:rPr>
          <w:rFonts w:hint="default" w:ascii="Times New Roman" w:hAnsi="Times New Roman" w:eastAsia="宋体" w:cs="Times New Roman"/>
          <w:sz w:val="28"/>
          <w:szCs w:val="28"/>
          <w:lang w:val="en-US" w:eastAsia="zh-CN"/>
        </w:rPr>
        <w:t>再加上约1年的筹建和基建时间，</w:t>
      </w:r>
      <w:r>
        <w:rPr>
          <w:rFonts w:hint="default" w:ascii="Times New Roman" w:hAnsi="Times New Roman" w:eastAsia="宋体" w:cs="Times New Roman"/>
          <w:sz w:val="28"/>
          <w:szCs w:val="28"/>
        </w:rPr>
        <w:t>最终确定本方案的总体使用年限为</w:t>
      </w:r>
      <w:r>
        <w:rPr>
          <w:rFonts w:hint="default" w:ascii="Times New Roman" w:hAnsi="Times New Roman" w:eastAsia="宋体" w:cs="Times New Roman"/>
          <w:sz w:val="28"/>
          <w:szCs w:val="28"/>
          <w:lang w:val="en-US" w:eastAsia="zh-CN"/>
        </w:rPr>
        <w:t>***</w:t>
      </w:r>
      <w:r>
        <w:rPr>
          <w:rFonts w:hint="default" w:ascii="Times New Roman" w:hAnsi="Times New Roman" w:eastAsia="宋体" w:cs="Times New Roman"/>
          <w:sz w:val="28"/>
          <w:szCs w:val="28"/>
        </w:rPr>
        <w:t>年，同时考虑生态修复方案的评审及备案时间，实施期考虑从2024年</w:t>
      </w:r>
      <w:r>
        <w:rPr>
          <w:rFonts w:hint="default" w:ascii="Times New Roman" w:hAnsi="Times New Roman" w:eastAsia="宋体" w:cs="Times New Roman"/>
          <w:sz w:val="28"/>
          <w:szCs w:val="28"/>
          <w:lang w:val="en-US" w:eastAsia="zh-CN"/>
        </w:rPr>
        <w:t>7</w:t>
      </w:r>
      <w:r>
        <w:rPr>
          <w:rFonts w:hint="default" w:ascii="Times New Roman" w:hAnsi="Times New Roman" w:eastAsia="宋体" w:cs="Times New Roman"/>
          <w:sz w:val="28"/>
          <w:szCs w:val="28"/>
        </w:rPr>
        <w:t>月起有效，故</w:t>
      </w:r>
      <w:r>
        <w:rPr>
          <w:rFonts w:hint="default" w:ascii="Times New Roman" w:hAnsi="Times New Roman" w:eastAsia="宋体" w:cs="Times New Roman"/>
          <w:b/>
          <w:bCs/>
          <w:sz w:val="28"/>
          <w:szCs w:val="28"/>
        </w:rPr>
        <w:t>本方案的服务年限为</w:t>
      </w:r>
      <w:r>
        <w:rPr>
          <w:rFonts w:hint="default" w:ascii="Times New Roman" w:hAnsi="Times New Roman" w:eastAsia="宋体" w:cs="Times New Roman"/>
          <w:b/>
          <w:bCs/>
          <w:sz w:val="28"/>
          <w:szCs w:val="28"/>
          <w:lang w:val="en-US" w:eastAsia="zh-CN"/>
        </w:rPr>
        <w:t>***</w:t>
      </w:r>
      <w:r>
        <w:rPr>
          <w:rFonts w:hint="default" w:ascii="Times New Roman" w:hAnsi="Times New Roman" w:eastAsia="宋体" w:cs="Times New Roman"/>
          <w:b/>
          <w:bCs/>
          <w:sz w:val="28"/>
          <w:szCs w:val="28"/>
        </w:rPr>
        <w:t>年（即2024年</w:t>
      </w:r>
      <w:r>
        <w:rPr>
          <w:rFonts w:hint="default" w:ascii="Times New Roman" w:hAnsi="Times New Roman" w:eastAsia="宋体" w:cs="Times New Roman"/>
          <w:b/>
          <w:bCs/>
          <w:sz w:val="28"/>
          <w:szCs w:val="28"/>
          <w:lang w:val="en-US" w:eastAsia="zh-CN"/>
        </w:rPr>
        <w:t>7</w:t>
      </w:r>
      <w:r>
        <w:rPr>
          <w:rFonts w:hint="default" w:ascii="Times New Roman" w:hAnsi="Times New Roman" w:eastAsia="宋体" w:cs="Times New Roman"/>
          <w:b/>
          <w:bCs/>
          <w:sz w:val="28"/>
          <w:szCs w:val="28"/>
        </w:rPr>
        <w:t>月-203</w:t>
      </w:r>
      <w:r>
        <w:rPr>
          <w:rFonts w:hint="default" w:ascii="Times New Roman" w:hAnsi="Times New Roman" w:eastAsia="宋体" w:cs="Times New Roman"/>
          <w:b/>
          <w:bCs/>
          <w:sz w:val="28"/>
          <w:szCs w:val="28"/>
          <w:lang w:val="en-US" w:eastAsia="zh-CN"/>
        </w:rPr>
        <w:t>9年4</w:t>
      </w:r>
      <w:r>
        <w:rPr>
          <w:rFonts w:hint="default" w:ascii="Times New Roman" w:hAnsi="Times New Roman" w:eastAsia="宋体" w:cs="Times New Roman"/>
          <w:b/>
          <w:bCs/>
          <w:sz w:val="28"/>
          <w:szCs w:val="28"/>
        </w:rPr>
        <w:t>月）</w:t>
      </w:r>
      <w:r>
        <w:rPr>
          <w:rFonts w:hint="default" w:ascii="Times New Roman" w:hAnsi="Times New Roman" w:eastAsia="宋体" w:cs="Times New Roman"/>
          <w:sz w:val="28"/>
          <w:szCs w:val="28"/>
        </w:rPr>
        <w:t>。</w:t>
      </w:r>
    </w:p>
    <w:p>
      <w:pPr>
        <w:pStyle w:val="3"/>
        <w:rPr>
          <w:rFonts w:hint="default" w:ascii="Times New Roman" w:hAnsi="Times New Roman" w:eastAsia="宋体" w:cs="Times New Roman"/>
        </w:rPr>
      </w:pPr>
      <w:bookmarkStart w:id="3" w:name="_Toc155772657"/>
      <w:r>
        <w:rPr>
          <w:rFonts w:hint="default" w:ascii="Times New Roman" w:hAnsi="Times New Roman" w:eastAsia="宋体" w:cs="Times New Roman"/>
        </w:rPr>
        <w:t>二、矿山基本情况</w:t>
      </w:r>
      <w:bookmarkEnd w:id="3"/>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（一）区位条件</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1、交通位置</w:t>
      </w:r>
    </w:p>
    <w:p>
      <w:pPr>
        <w:spacing w:line="360" w:lineRule="auto"/>
        <w:ind w:firstLine="560" w:firstLineChars="20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rPr>
        <w:t>矿区位于汨罗市域东南方向约22km处，行政隶属汨罗市神鼎山镇新开村，地理坐标：东经：***～***，北纬：***～***。矿区东侧与现状国道107相距约3km，与京港澳高速相距约13.0km，矿区有乡村公路与省道相连，交通较为便利。</w:t>
      </w:r>
    </w:p>
    <w:p>
      <w:pPr>
        <w:spacing w:line="360" w:lineRule="auto"/>
        <w:jc w:val="center"/>
        <w:rPr>
          <w:rFonts w:hint="default" w:ascii="Times New Roman" w:hAnsi="Times New Roman" w:eastAsia="宋体" w:cs="Times New Roman"/>
          <w:sz w:val="28"/>
          <w:szCs w:val="28"/>
          <w:lang w:eastAsia="zh-CN"/>
        </w:rPr>
      </w:pPr>
    </w:p>
    <w:p>
      <w:pPr>
        <w:spacing w:line="360" w:lineRule="auto"/>
        <w:ind w:firstLine="482" w:firstLineChars="200"/>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图</w:t>
      </w:r>
      <w:r>
        <w:rPr>
          <w:rFonts w:hint="eastAsia" w:ascii="Times New Roman" w:hAnsi="Times New Roman" w:eastAsia="宋体" w:cs="Times New Roman"/>
          <w:b/>
          <w:bCs/>
          <w:sz w:val="24"/>
          <w:szCs w:val="24"/>
          <w:lang w:val="en-US" w:eastAsia="zh-CN"/>
        </w:rPr>
        <w:t>1</w:t>
      </w:r>
      <w:r>
        <w:rPr>
          <w:rFonts w:hint="default" w:ascii="Times New Roman" w:hAnsi="Times New Roman" w:eastAsia="宋体" w:cs="Times New Roman"/>
          <w:b/>
          <w:bCs/>
          <w:sz w:val="24"/>
          <w:szCs w:val="24"/>
          <w:lang w:val="en-US" w:eastAsia="zh-CN"/>
        </w:rPr>
        <w:t>-1 矿区交通位置图</w:t>
      </w:r>
    </w:p>
    <w:p>
      <w:pPr>
        <w:spacing w:line="360" w:lineRule="auto"/>
        <w:ind w:firstLine="562" w:firstLineChars="200"/>
        <w:jc w:val="left"/>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2、生态区位</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矿区与现有探矿权、采矿权无重叠。也没有</w:t>
      </w:r>
      <w:r>
        <w:rPr>
          <w:rFonts w:hint="eastAsia" w:ascii="Times New Roman" w:hAnsi="Times New Roman" w:eastAsia="宋体" w:cs="Times New Roman"/>
          <w:sz w:val="28"/>
          <w:szCs w:val="28"/>
          <w:lang w:val="en-US" w:eastAsia="zh-CN"/>
        </w:rPr>
        <w:t>其他</w:t>
      </w:r>
      <w:r>
        <w:rPr>
          <w:rFonts w:hint="default" w:ascii="Times New Roman" w:hAnsi="Times New Roman" w:eastAsia="宋体" w:cs="Times New Roman"/>
          <w:sz w:val="28"/>
          <w:szCs w:val="28"/>
        </w:rPr>
        <w:t>已探明的资源储量分布，不涉及永久基本农田、生态保护红线、自然保护地和风景名胜区，</w:t>
      </w:r>
      <w:r>
        <w:rPr>
          <w:rFonts w:hint="default" w:ascii="Times New Roman" w:hAnsi="Times New Roman" w:eastAsia="宋体" w:cs="Times New Roman"/>
          <w:sz w:val="28"/>
          <w:szCs w:val="28"/>
          <w:lang w:val="en-US" w:eastAsia="zh-CN"/>
        </w:rPr>
        <w:t>不涉及水源保护区和公益林，</w:t>
      </w:r>
      <w:r>
        <w:rPr>
          <w:rFonts w:hint="default" w:ascii="Times New Roman" w:hAnsi="Times New Roman" w:eastAsia="宋体" w:cs="Times New Roman"/>
          <w:sz w:val="28"/>
          <w:szCs w:val="28"/>
        </w:rPr>
        <w:t>也不与历史建设项目重叠，符合“三线一单”（生态红线、环境质量底线、资源利用上线和环境准入负面清单）管控要求。</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矿区周边无重要交通设施及通讯设施；采矿权范围内无居民住房；300m安全生产线范围内有***栋民房；矿区内及周边1000m范围内无铁路，300m范围内无县级以上公路通过，300m范围内无电力高架线。</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3、规划区位</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根据《汨罗市普通建筑材料用砂石土矿专项规划（2019～2025年）》，矿区位于汨罗神鼎山镇梅树湾建筑用花岗岩矿新设区块内。</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根据《汨罗市国土空间总体规划（2021</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2035年</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》（报批稿），项目已纳入国土空间总体规划，已列入市域矿产资源规划</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已</w:t>
      </w:r>
      <w:r>
        <w:rPr>
          <w:rFonts w:hint="default" w:ascii="Times New Roman" w:hAnsi="Times New Roman" w:eastAsia="宋体" w:cs="Times New Roman"/>
          <w:sz w:val="28"/>
          <w:szCs w:val="28"/>
        </w:rPr>
        <w:t>与正在编制的神鼎山镇乡镇国土空间总体规划进行对接，汨罗市自然资源局承诺将本项目纳入规划重点项目表。</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（二）矿山采矿许可证及矿权范围</w:t>
      </w:r>
    </w:p>
    <w:p>
      <w:pPr>
        <w:spacing w:line="360" w:lineRule="auto"/>
        <w:ind w:firstLine="560" w:firstLineChars="200"/>
        <w:rPr>
          <w:rFonts w:hint="default" w:ascii="Times New Roman" w:hAnsi="Times New Roman" w:eastAsia="宋体" w:cs="Times New Roman"/>
          <w:b/>
          <w:sz w:val="24"/>
          <w:szCs w:val="24"/>
        </w:rPr>
      </w:pPr>
      <w:r>
        <w:rPr>
          <w:rFonts w:hint="default" w:ascii="Times New Roman" w:hAnsi="Times New Roman" w:eastAsia="宋体" w:cs="Times New Roman"/>
          <w:sz w:val="28"/>
          <w:szCs w:val="28"/>
        </w:rPr>
        <w:t>本矿区暂未取得采矿许可证，拟设采矿权范围为湖南省地质灾害调查监测所编制的《湖南省汨罗市梅树湾矿区建筑用花岗岩矿采矿权申请范围核查报告》中确定的采矿权范围，该报告已经经岳阳市自然资源和规划局组织评审通过，评审号为“岳采矿权核查评字〔2023〕002号”</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采矿权范围由7个拐点圈定，面积***</w:t>
      </w:r>
      <w:r>
        <w:rPr>
          <w:rFonts w:hint="eastAsia" w:ascii="Times New Roman" w:hAnsi="Times New Roman" w:eastAsia="宋体" w:cs="Times New Roman"/>
          <w:sz w:val="28"/>
          <w:szCs w:val="28"/>
          <w:lang w:eastAsia="zh-CN"/>
        </w:rPr>
        <w:t>km²</w:t>
      </w:r>
      <w:r>
        <w:rPr>
          <w:rFonts w:hint="default" w:ascii="Times New Roman" w:hAnsi="Times New Roman" w:eastAsia="宋体" w:cs="Times New Roman"/>
          <w:sz w:val="28"/>
          <w:szCs w:val="28"/>
        </w:rPr>
        <w:t>，开采深度+***m～+***m。拟设矿区拐点坐标详见下表：</w:t>
      </w:r>
    </w:p>
    <w:p>
      <w:pP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br w:type="page"/>
      </w:r>
    </w:p>
    <w:p>
      <w:pPr>
        <w:spacing w:line="36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表1-2 湖南省汨罗市梅树湾矿区建筑用花岗岩矿拟设矿区范围拐点坐标表</w:t>
      </w:r>
    </w:p>
    <w:tbl>
      <w:tblPr>
        <w:tblStyle w:val="13"/>
        <w:tblW w:w="0" w:type="auto"/>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16"/>
        <w:gridCol w:w="2920"/>
        <w:gridCol w:w="2400"/>
        <w:gridCol w:w="1660"/>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16" w:type="dxa"/>
            <w:vMerge w:val="restart"/>
            <w:vAlign w:val="center"/>
          </w:tcPr>
          <w:p>
            <w:pPr>
              <w:spacing w:line="0" w:lineRule="atLeast"/>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序号</w:t>
            </w:r>
          </w:p>
        </w:tc>
        <w:tc>
          <w:tcPr>
            <w:tcW w:w="5320" w:type="dxa"/>
            <w:gridSpan w:val="2"/>
            <w:vAlign w:val="center"/>
          </w:tcPr>
          <w:p>
            <w:pPr>
              <w:spacing w:line="0" w:lineRule="atLeast"/>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（2000国家大地）</w:t>
            </w:r>
          </w:p>
        </w:tc>
        <w:tc>
          <w:tcPr>
            <w:tcW w:w="1660" w:type="dxa"/>
            <w:vMerge w:val="restart"/>
            <w:vAlign w:val="center"/>
          </w:tcPr>
          <w:p>
            <w:pPr>
              <w:spacing w:line="0" w:lineRule="atLeast"/>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设置类型</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16" w:type="dxa"/>
            <w:vMerge w:val="continue"/>
            <w:vAlign w:val="center"/>
          </w:tcPr>
          <w:p>
            <w:pPr>
              <w:spacing w:line="0" w:lineRule="atLeast"/>
              <w:jc w:val="center"/>
              <w:rPr>
                <w:rFonts w:hint="default" w:ascii="Times New Roman" w:hAnsi="Times New Roman" w:eastAsia="宋体" w:cs="Times New Roman"/>
                <w:szCs w:val="21"/>
              </w:rPr>
            </w:pPr>
          </w:p>
        </w:tc>
        <w:tc>
          <w:tcPr>
            <w:tcW w:w="2920" w:type="dxa"/>
            <w:vAlign w:val="center"/>
          </w:tcPr>
          <w:p>
            <w:pPr>
              <w:spacing w:line="0" w:lineRule="atLeast"/>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X</w:t>
            </w:r>
          </w:p>
        </w:tc>
        <w:tc>
          <w:tcPr>
            <w:tcW w:w="2400" w:type="dxa"/>
            <w:vAlign w:val="center"/>
          </w:tcPr>
          <w:p>
            <w:pPr>
              <w:spacing w:line="0" w:lineRule="atLeast"/>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Y</w:t>
            </w:r>
          </w:p>
        </w:tc>
        <w:tc>
          <w:tcPr>
            <w:tcW w:w="1660" w:type="dxa"/>
            <w:vMerge w:val="continue"/>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16" w:type="dxa"/>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2920" w:type="dxa"/>
            <w:vAlign w:val="center"/>
          </w:tcPr>
          <w:p>
            <w:pPr>
              <w:spacing w:line="0" w:lineRule="atLeast"/>
              <w:jc w:val="center"/>
              <w:rPr>
                <w:rFonts w:hint="default" w:ascii="Times New Roman" w:hAnsi="Times New Roman" w:eastAsia="宋体" w:cs="Times New Roman"/>
                <w:szCs w:val="21"/>
              </w:rPr>
            </w:pPr>
            <w:r>
              <w:rPr>
                <w:rFonts w:hint="eastAsia"/>
              </w:rPr>
              <w:t>***</w:t>
            </w:r>
          </w:p>
        </w:tc>
        <w:tc>
          <w:tcPr>
            <w:tcW w:w="2400" w:type="dxa"/>
            <w:vAlign w:val="center"/>
          </w:tcPr>
          <w:p>
            <w:pPr>
              <w:spacing w:line="0" w:lineRule="atLeast"/>
              <w:jc w:val="center"/>
              <w:rPr>
                <w:rFonts w:hint="default" w:ascii="Times New Roman" w:hAnsi="Times New Roman" w:eastAsia="宋体" w:cs="Times New Roman"/>
                <w:szCs w:val="21"/>
              </w:rPr>
            </w:pPr>
            <w:r>
              <w:rPr>
                <w:rFonts w:hint="eastAsia"/>
              </w:rPr>
              <w:t>***</w:t>
            </w:r>
          </w:p>
        </w:tc>
        <w:tc>
          <w:tcPr>
            <w:tcW w:w="1660" w:type="dxa"/>
            <w:vMerge w:val="restart"/>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采矿权新设</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16" w:type="dxa"/>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2920" w:type="dxa"/>
            <w:vAlign w:val="center"/>
          </w:tcPr>
          <w:p>
            <w:pPr>
              <w:spacing w:line="0" w:lineRule="atLeast"/>
              <w:jc w:val="center"/>
              <w:rPr>
                <w:rFonts w:hint="default" w:ascii="Times New Roman" w:hAnsi="Times New Roman" w:eastAsia="宋体" w:cs="Times New Roman"/>
                <w:szCs w:val="21"/>
              </w:rPr>
            </w:pPr>
            <w:r>
              <w:rPr>
                <w:rFonts w:hint="eastAsia"/>
              </w:rPr>
              <w:t>***</w:t>
            </w:r>
          </w:p>
        </w:tc>
        <w:tc>
          <w:tcPr>
            <w:tcW w:w="2400" w:type="dxa"/>
            <w:vAlign w:val="center"/>
          </w:tcPr>
          <w:p>
            <w:pPr>
              <w:spacing w:line="0" w:lineRule="atLeast"/>
              <w:jc w:val="center"/>
              <w:rPr>
                <w:rFonts w:hint="default" w:ascii="Times New Roman" w:hAnsi="Times New Roman" w:eastAsia="宋体" w:cs="Times New Roman"/>
                <w:szCs w:val="21"/>
              </w:rPr>
            </w:pPr>
            <w:r>
              <w:rPr>
                <w:rFonts w:hint="eastAsia"/>
              </w:rPr>
              <w:t>***</w:t>
            </w:r>
          </w:p>
        </w:tc>
        <w:tc>
          <w:tcPr>
            <w:tcW w:w="1660" w:type="dxa"/>
            <w:vMerge w:val="continue"/>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16" w:type="dxa"/>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3</w:t>
            </w:r>
          </w:p>
        </w:tc>
        <w:tc>
          <w:tcPr>
            <w:tcW w:w="2920" w:type="dxa"/>
            <w:vAlign w:val="center"/>
          </w:tcPr>
          <w:p>
            <w:pPr>
              <w:spacing w:line="0" w:lineRule="atLeast"/>
              <w:jc w:val="center"/>
              <w:rPr>
                <w:rFonts w:hint="default" w:ascii="Times New Roman" w:hAnsi="Times New Roman" w:eastAsia="宋体" w:cs="Times New Roman"/>
                <w:szCs w:val="21"/>
              </w:rPr>
            </w:pPr>
            <w:r>
              <w:rPr>
                <w:rFonts w:hint="eastAsia"/>
              </w:rPr>
              <w:t>***</w:t>
            </w:r>
          </w:p>
        </w:tc>
        <w:tc>
          <w:tcPr>
            <w:tcW w:w="2400" w:type="dxa"/>
            <w:vAlign w:val="center"/>
          </w:tcPr>
          <w:p>
            <w:pPr>
              <w:spacing w:line="0" w:lineRule="atLeast"/>
              <w:jc w:val="center"/>
              <w:rPr>
                <w:rFonts w:hint="default" w:ascii="Times New Roman" w:hAnsi="Times New Roman" w:eastAsia="宋体" w:cs="Times New Roman"/>
                <w:szCs w:val="21"/>
              </w:rPr>
            </w:pPr>
            <w:r>
              <w:rPr>
                <w:rFonts w:hint="eastAsia"/>
              </w:rPr>
              <w:t>***</w:t>
            </w:r>
          </w:p>
        </w:tc>
        <w:tc>
          <w:tcPr>
            <w:tcW w:w="1660" w:type="dxa"/>
            <w:vMerge w:val="continue"/>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16" w:type="dxa"/>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4</w:t>
            </w:r>
          </w:p>
        </w:tc>
        <w:tc>
          <w:tcPr>
            <w:tcW w:w="2920" w:type="dxa"/>
            <w:vAlign w:val="center"/>
          </w:tcPr>
          <w:p>
            <w:pPr>
              <w:spacing w:line="0" w:lineRule="atLeast"/>
              <w:jc w:val="center"/>
              <w:rPr>
                <w:rFonts w:hint="default" w:ascii="Times New Roman" w:hAnsi="Times New Roman" w:eastAsia="宋体" w:cs="Times New Roman"/>
                <w:szCs w:val="21"/>
              </w:rPr>
            </w:pPr>
            <w:r>
              <w:rPr>
                <w:rFonts w:hint="eastAsia"/>
              </w:rPr>
              <w:t>***</w:t>
            </w:r>
          </w:p>
        </w:tc>
        <w:tc>
          <w:tcPr>
            <w:tcW w:w="2400" w:type="dxa"/>
            <w:vAlign w:val="center"/>
          </w:tcPr>
          <w:p>
            <w:pPr>
              <w:spacing w:line="0" w:lineRule="atLeast"/>
              <w:jc w:val="center"/>
              <w:rPr>
                <w:rFonts w:hint="default" w:ascii="Times New Roman" w:hAnsi="Times New Roman" w:eastAsia="宋体" w:cs="Times New Roman"/>
                <w:szCs w:val="21"/>
              </w:rPr>
            </w:pPr>
            <w:r>
              <w:rPr>
                <w:rFonts w:hint="eastAsia"/>
              </w:rPr>
              <w:t>***</w:t>
            </w:r>
          </w:p>
        </w:tc>
        <w:tc>
          <w:tcPr>
            <w:tcW w:w="1660" w:type="dxa"/>
            <w:vMerge w:val="continue"/>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16" w:type="dxa"/>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5</w:t>
            </w:r>
          </w:p>
        </w:tc>
        <w:tc>
          <w:tcPr>
            <w:tcW w:w="2920" w:type="dxa"/>
            <w:vAlign w:val="center"/>
          </w:tcPr>
          <w:p>
            <w:pPr>
              <w:spacing w:line="0" w:lineRule="atLeast"/>
              <w:jc w:val="center"/>
              <w:rPr>
                <w:rFonts w:hint="default" w:ascii="Times New Roman" w:hAnsi="Times New Roman" w:eastAsia="宋体" w:cs="Times New Roman"/>
                <w:szCs w:val="21"/>
              </w:rPr>
            </w:pPr>
            <w:r>
              <w:rPr>
                <w:rFonts w:hint="eastAsia"/>
              </w:rPr>
              <w:t>***</w:t>
            </w:r>
          </w:p>
        </w:tc>
        <w:tc>
          <w:tcPr>
            <w:tcW w:w="2400" w:type="dxa"/>
            <w:vAlign w:val="center"/>
          </w:tcPr>
          <w:p>
            <w:pPr>
              <w:spacing w:line="0" w:lineRule="atLeast"/>
              <w:jc w:val="center"/>
              <w:rPr>
                <w:rFonts w:hint="default" w:ascii="Times New Roman" w:hAnsi="Times New Roman" w:eastAsia="宋体" w:cs="Times New Roman"/>
                <w:szCs w:val="21"/>
              </w:rPr>
            </w:pPr>
            <w:r>
              <w:rPr>
                <w:rFonts w:hint="eastAsia"/>
              </w:rPr>
              <w:t>***</w:t>
            </w:r>
          </w:p>
        </w:tc>
        <w:tc>
          <w:tcPr>
            <w:tcW w:w="1660" w:type="dxa"/>
            <w:vMerge w:val="continue"/>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16" w:type="dxa"/>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6</w:t>
            </w:r>
          </w:p>
        </w:tc>
        <w:tc>
          <w:tcPr>
            <w:tcW w:w="2920" w:type="dxa"/>
            <w:vAlign w:val="center"/>
          </w:tcPr>
          <w:p>
            <w:pPr>
              <w:spacing w:line="0" w:lineRule="atLeast"/>
              <w:jc w:val="center"/>
              <w:rPr>
                <w:rFonts w:hint="default" w:ascii="Times New Roman" w:hAnsi="Times New Roman" w:eastAsia="宋体" w:cs="Times New Roman"/>
                <w:szCs w:val="21"/>
              </w:rPr>
            </w:pPr>
            <w:r>
              <w:rPr>
                <w:rFonts w:hint="eastAsia"/>
              </w:rPr>
              <w:t>***</w:t>
            </w:r>
          </w:p>
        </w:tc>
        <w:tc>
          <w:tcPr>
            <w:tcW w:w="2400" w:type="dxa"/>
            <w:vAlign w:val="center"/>
          </w:tcPr>
          <w:p>
            <w:pPr>
              <w:spacing w:line="0" w:lineRule="atLeast"/>
              <w:jc w:val="center"/>
              <w:rPr>
                <w:rFonts w:hint="default" w:ascii="Times New Roman" w:hAnsi="Times New Roman" w:eastAsia="宋体" w:cs="Times New Roman"/>
                <w:szCs w:val="21"/>
              </w:rPr>
            </w:pPr>
            <w:r>
              <w:rPr>
                <w:rFonts w:hint="eastAsia"/>
              </w:rPr>
              <w:t>***</w:t>
            </w:r>
          </w:p>
        </w:tc>
        <w:tc>
          <w:tcPr>
            <w:tcW w:w="1660" w:type="dxa"/>
            <w:vMerge w:val="continue"/>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16" w:type="dxa"/>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7</w:t>
            </w:r>
          </w:p>
        </w:tc>
        <w:tc>
          <w:tcPr>
            <w:tcW w:w="2920" w:type="dxa"/>
            <w:vAlign w:val="center"/>
          </w:tcPr>
          <w:p>
            <w:pPr>
              <w:spacing w:line="0" w:lineRule="atLeast"/>
              <w:jc w:val="center"/>
              <w:rPr>
                <w:rFonts w:hint="default" w:ascii="Times New Roman" w:hAnsi="Times New Roman" w:eastAsia="宋体" w:cs="Times New Roman"/>
                <w:szCs w:val="21"/>
              </w:rPr>
            </w:pPr>
            <w:r>
              <w:rPr>
                <w:rFonts w:hint="eastAsia"/>
              </w:rPr>
              <w:t>***</w:t>
            </w:r>
          </w:p>
        </w:tc>
        <w:tc>
          <w:tcPr>
            <w:tcW w:w="2400" w:type="dxa"/>
            <w:vAlign w:val="center"/>
          </w:tcPr>
          <w:p>
            <w:pPr>
              <w:spacing w:line="0" w:lineRule="atLeast"/>
              <w:jc w:val="center"/>
              <w:rPr>
                <w:rFonts w:hint="default" w:ascii="Times New Roman" w:hAnsi="Times New Roman" w:eastAsia="宋体" w:cs="Times New Roman"/>
                <w:szCs w:val="21"/>
              </w:rPr>
            </w:pPr>
            <w:r>
              <w:rPr>
                <w:rFonts w:hint="eastAsia"/>
              </w:rPr>
              <w:t>***</w:t>
            </w:r>
          </w:p>
        </w:tc>
        <w:tc>
          <w:tcPr>
            <w:tcW w:w="1660" w:type="dxa"/>
            <w:vMerge w:val="continue"/>
            <w:vAlign w:val="center"/>
          </w:tcPr>
          <w:p>
            <w:pPr>
              <w:spacing w:line="0" w:lineRule="atLeast"/>
              <w:jc w:val="center"/>
              <w:rPr>
                <w:rFonts w:hint="default"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636" w:type="dxa"/>
            <w:gridSpan w:val="3"/>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highlight w:val="none"/>
              </w:rPr>
              <w:t>面积***</w:t>
            </w:r>
            <w:r>
              <w:rPr>
                <w:rFonts w:hint="default" w:ascii="Times New Roman" w:hAnsi="Times New Roman" w:eastAsia="宋体" w:cs="Times New Roman"/>
                <w:szCs w:val="21"/>
                <w:highlight w:val="none"/>
                <w:lang w:val="en-US" w:eastAsia="zh-CN"/>
              </w:rPr>
              <w:t>km</w:t>
            </w:r>
            <w:r>
              <w:rPr>
                <w:rFonts w:hint="default" w:ascii="Times New Roman" w:hAnsi="Times New Roman" w:eastAsia="宋体" w:cs="Times New Roman"/>
                <w:szCs w:val="21"/>
                <w:highlight w:val="none"/>
                <w:vertAlign w:val="superscript"/>
                <w:lang w:val="en-US" w:eastAsia="zh-CN"/>
              </w:rPr>
              <w:t>2</w:t>
            </w:r>
            <w:r>
              <w:rPr>
                <w:rFonts w:hint="default" w:ascii="Times New Roman" w:hAnsi="Times New Roman" w:eastAsia="宋体" w:cs="Times New Roman"/>
                <w:szCs w:val="21"/>
                <w:highlight w:val="none"/>
              </w:rPr>
              <w:t>，开采标高：+***m~+***m</w:t>
            </w:r>
          </w:p>
        </w:tc>
        <w:tc>
          <w:tcPr>
            <w:tcW w:w="1660" w:type="dxa"/>
            <w:vMerge w:val="continue"/>
            <w:vAlign w:val="center"/>
          </w:tcPr>
          <w:p>
            <w:pPr>
              <w:spacing w:line="0" w:lineRule="atLeast"/>
              <w:jc w:val="center"/>
              <w:rPr>
                <w:rFonts w:hint="default" w:ascii="Times New Roman" w:hAnsi="Times New Roman" w:eastAsia="宋体" w:cs="Times New Roman"/>
                <w:szCs w:val="21"/>
              </w:rPr>
            </w:pPr>
          </w:p>
        </w:tc>
      </w:tr>
    </w:tbl>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（三）矿床特征</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1、矿体产状、形态与规模</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矿区内全部为花岗岩，根据风化程度及砂石骨料矿石类型，可分为三种不同的花岗岩矿体：全风化花岗岩矿体、中风化花岗岩矿体以及未风化花岗岩矿体，具体情况如下</w:t>
      </w:r>
      <w:r>
        <w:rPr>
          <w:rFonts w:hint="default" w:ascii="Times New Roman" w:hAnsi="Times New Roman" w:eastAsia="宋体" w:cs="Times New Roman"/>
          <w:sz w:val="28"/>
          <w:szCs w:val="28"/>
          <w:lang w:eastAsia="zh-CN"/>
        </w:rPr>
        <w:t>：</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全风化花岗岩矿体：</w:t>
      </w:r>
      <w:r>
        <w:rPr>
          <w:rFonts w:hint="default" w:ascii="Times New Roman" w:hAnsi="Times New Roman" w:eastAsia="宋体" w:cs="Times New Roman"/>
          <w:sz w:val="28"/>
          <w:szCs w:val="28"/>
        </w:rPr>
        <w:t>为第四系覆盖层之下的全风化花岗岩。第四系呈深褐色，含有较高的粘土质及腐殖质等；全风化花岗岩用手捏易碎成砂，呈黄褐色、灰褐色、松散状，长石已高岭土化。矿体形态主要与地形和岩石风化面形态有关，山脊上风化程度明显，陡坡处较薄，山顶及山脚低洼处相对较厚，矿体呈似层状、透镜状产出，矿体长约***m，宽***m，依据勘查报告中探矿工程揭露情况，矿体平均厚度约***m。</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中风化花岗岩矿体：</w:t>
      </w:r>
      <w:r>
        <w:rPr>
          <w:rFonts w:hint="default" w:ascii="Times New Roman" w:hAnsi="Times New Roman" w:eastAsia="宋体" w:cs="Times New Roman"/>
          <w:sz w:val="28"/>
          <w:szCs w:val="28"/>
        </w:rPr>
        <w:t>为全风化花岗岩之下的中风化花岗岩。中风化花岗岩用锤子轻砸易碎，锤击声哑，呈浅黄色、黄褐色、灰褐色、碎块状，部分长石高岭土化。矿体呈似层状、透镜状产出，矿体长约***m，宽约***m，依据勘查报告中探矿工程揭露情况，矿体平均厚度约***m。</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未风化花岗岩矿体：</w:t>
      </w:r>
      <w:r>
        <w:rPr>
          <w:rFonts w:hint="default" w:ascii="Times New Roman" w:hAnsi="Times New Roman" w:eastAsia="宋体" w:cs="Times New Roman"/>
          <w:sz w:val="28"/>
          <w:szCs w:val="28"/>
        </w:rPr>
        <w:t>主要为分布在中风化花岗岩之下的未风化花岗岩。未风化花岗岩呈灰白、灰绿</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灰褐色，用锤子砸不易碎，锤击声音清脆，抗压强度（水饱和）不低于***Mpa，局部岩石裂隙较发育，裂隙发育处可见岩石风化，高岭土化、绿泥石化。矿体控制矿体总长度约***m</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宽约***m，总体上两侧薄中间厚，以最低开采标高+***m为界，其厚度约为***m，岩石呈灰白、灰绿、灰褐色，具花岗结构，块状构造。造岩矿物以长石为主，其次为石英，另见少量的黑云母及白云母，绿泥石，岩石致密、坚硬。</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2、矿石质量</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矿石物质组成：全风化花岗岩矿石矿物主要为石英、少量长石及粘土矿物、岩屑；中风化花岗岩矿石矿物主要为正长石、斜长石、石英及白云母、黑云母，含少量铁质氧化物，部分长石类矿物已风化变为粘土矿物；未风化花岗岩矿石矿物主要为石英含量20%～30%、正长石30%～35%、斜长石30%～34%、白云母2%～4%、黑云母4%～8%、局部绿泥石、暗色矿物约3%。</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矿石结构构造：全风化花岗岩黄褐色，残余结构，呈松散状、松散砂状；中风化花岗岩黄褐色，灰褐白色，变余花岗结构，块状、碎块状构造；未风化花岗岩灰白色，灰绿色，灰褐色，中细粒花岗结构，块状构造。</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（3）矿石化学成分：全风化花岗岩：SO</w:t>
      </w:r>
      <w:r>
        <w:rPr>
          <w:rFonts w:hint="default" w:ascii="Times New Roman" w:hAnsi="Times New Roman" w:eastAsia="宋体" w:cs="Times New Roman"/>
          <w:sz w:val="28"/>
          <w:szCs w:val="28"/>
          <w:vertAlign w:val="subscript"/>
        </w:rPr>
        <w:t>3</w:t>
      </w:r>
      <w:r>
        <w:rPr>
          <w:rFonts w:hint="default" w:ascii="Times New Roman" w:hAnsi="Times New Roman" w:eastAsia="宋体" w:cs="Times New Roman"/>
          <w:sz w:val="28"/>
          <w:szCs w:val="28"/>
        </w:rPr>
        <w:t>0.03%～0.05%、SiO</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71.32%～72.36%、Ai</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O</w:t>
      </w:r>
      <w:r>
        <w:rPr>
          <w:rFonts w:hint="default" w:ascii="Times New Roman" w:hAnsi="Times New Roman" w:eastAsia="宋体" w:cs="Times New Roman"/>
          <w:sz w:val="28"/>
          <w:szCs w:val="28"/>
          <w:vertAlign w:val="subscript"/>
        </w:rPr>
        <w:t>3</w:t>
      </w:r>
      <w:r>
        <w:rPr>
          <w:rFonts w:hint="default" w:ascii="Times New Roman" w:hAnsi="Times New Roman" w:eastAsia="宋体" w:cs="Times New Roman"/>
          <w:sz w:val="28"/>
          <w:szCs w:val="28"/>
        </w:rPr>
        <w:t>14.68%～17.29%、Fe</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O</w:t>
      </w:r>
      <w:r>
        <w:rPr>
          <w:rFonts w:hint="default" w:ascii="Times New Roman" w:hAnsi="Times New Roman" w:eastAsia="宋体" w:cs="Times New Roman"/>
          <w:sz w:val="28"/>
          <w:szCs w:val="28"/>
          <w:vertAlign w:val="subscript"/>
        </w:rPr>
        <w:t>3</w:t>
      </w:r>
      <w:r>
        <w:rPr>
          <w:rFonts w:hint="default" w:ascii="Times New Roman" w:hAnsi="Times New Roman" w:eastAsia="宋体" w:cs="Times New Roman"/>
          <w:sz w:val="28"/>
          <w:szCs w:val="28"/>
        </w:rPr>
        <w:t>1.28%～1.55%、Cl</w:t>
      </w:r>
      <w:r>
        <w:rPr>
          <w:rFonts w:hint="default" w:ascii="Times New Roman" w:hAnsi="Times New Roman" w:eastAsia="宋体" w:cs="Times New Roman"/>
          <w:sz w:val="28"/>
          <w:szCs w:val="28"/>
          <w:vertAlign w:val="superscript"/>
        </w:rPr>
        <w:t>-</w:t>
      </w:r>
      <w:r>
        <w:rPr>
          <w:rFonts w:hint="default" w:ascii="Times New Roman" w:hAnsi="Times New Roman" w:eastAsia="宋体" w:cs="Times New Roman"/>
          <w:sz w:val="28"/>
          <w:szCs w:val="28"/>
        </w:rPr>
        <w:t>0.0042%～0.0081%、CaO0.86%～1.35%、MgO0.32%～0.42%、K</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O4.82%～5.36%、Na</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O1.38%～2.96%、P</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O</w:t>
      </w:r>
      <w:r>
        <w:rPr>
          <w:rFonts w:hint="default" w:ascii="Times New Roman" w:hAnsi="Times New Roman" w:eastAsia="宋体" w:cs="Times New Roman"/>
          <w:sz w:val="28"/>
          <w:szCs w:val="28"/>
          <w:vertAlign w:val="subscript"/>
        </w:rPr>
        <w:t>5</w:t>
      </w:r>
      <w:r>
        <w:rPr>
          <w:rFonts w:hint="default" w:ascii="Times New Roman" w:hAnsi="Times New Roman" w:eastAsia="宋体" w:cs="Times New Roman"/>
          <w:sz w:val="28"/>
          <w:szCs w:val="28"/>
        </w:rPr>
        <w:t>0.0024%～0.00286%、TiO</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0.15%～0.41%、L.O.I1.08%～2.09%；中风化花岗岩：SO</w:t>
      </w:r>
      <w:r>
        <w:rPr>
          <w:rFonts w:hint="default" w:ascii="Times New Roman" w:hAnsi="Times New Roman" w:eastAsia="宋体" w:cs="Times New Roman"/>
          <w:sz w:val="28"/>
          <w:szCs w:val="28"/>
          <w:vertAlign w:val="subscript"/>
        </w:rPr>
        <w:t>3</w:t>
      </w:r>
      <w:r>
        <w:rPr>
          <w:rFonts w:hint="default" w:ascii="Times New Roman" w:hAnsi="Times New Roman" w:eastAsia="宋体" w:cs="Times New Roman"/>
          <w:sz w:val="28"/>
          <w:szCs w:val="28"/>
        </w:rPr>
        <w:t>0.02%～0.06%、SiO</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70.82%～76.32%、Ai</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O</w:t>
      </w:r>
      <w:r>
        <w:rPr>
          <w:rFonts w:hint="default" w:ascii="Times New Roman" w:hAnsi="Times New Roman" w:eastAsia="宋体" w:cs="Times New Roman"/>
          <w:sz w:val="28"/>
          <w:szCs w:val="28"/>
          <w:vertAlign w:val="subscript"/>
        </w:rPr>
        <w:t>3</w:t>
      </w:r>
      <w:r>
        <w:rPr>
          <w:rFonts w:hint="default" w:ascii="Times New Roman" w:hAnsi="Times New Roman" w:eastAsia="宋体" w:cs="Times New Roman"/>
          <w:sz w:val="28"/>
          <w:szCs w:val="28"/>
        </w:rPr>
        <w:t>13.11%～15.26%、Fe</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O</w:t>
      </w:r>
      <w:r>
        <w:rPr>
          <w:rFonts w:hint="default" w:ascii="Times New Roman" w:hAnsi="Times New Roman" w:eastAsia="宋体" w:cs="Times New Roman"/>
          <w:sz w:val="28"/>
          <w:szCs w:val="28"/>
          <w:vertAlign w:val="subscript"/>
        </w:rPr>
        <w:t>3</w:t>
      </w:r>
      <w:r>
        <w:rPr>
          <w:rFonts w:hint="default" w:ascii="Times New Roman" w:hAnsi="Times New Roman" w:eastAsia="宋体" w:cs="Times New Roman"/>
          <w:sz w:val="28"/>
          <w:szCs w:val="28"/>
        </w:rPr>
        <w:t>0.27%～1.76%、Cl</w:t>
      </w:r>
      <w:r>
        <w:rPr>
          <w:rFonts w:hint="default" w:ascii="Times New Roman" w:hAnsi="Times New Roman" w:eastAsia="宋体" w:cs="Times New Roman"/>
          <w:sz w:val="28"/>
          <w:szCs w:val="28"/>
          <w:vertAlign w:val="superscript"/>
        </w:rPr>
        <w:t>-</w:t>
      </w:r>
      <w:r>
        <w:rPr>
          <w:rFonts w:hint="default" w:ascii="Times New Roman" w:hAnsi="Times New Roman" w:eastAsia="宋体" w:cs="Times New Roman"/>
          <w:sz w:val="28"/>
          <w:szCs w:val="28"/>
        </w:rPr>
        <w:t>0.0032%～0.0081%、CaO0.15%～1.66%、MgO0.24%～0.63%、K</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O4.51%～6.77%、Na</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O0.02%～3.36%、P</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O</w:t>
      </w:r>
      <w:r>
        <w:rPr>
          <w:rFonts w:hint="default" w:ascii="Times New Roman" w:hAnsi="Times New Roman" w:eastAsia="宋体" w:cs="Times New Roman"/>
          <w:sz w:val="28"/>
          <w:szCs w:val="28"/>
          <w:vertAlign w:val="subscript"/>
        </w:rPr>
        <w:t>5</w:t>
      </w:r>
      <w:r>
        <w:rPr>
          <w:rFonts w:hint="default" w:ascii="Times New Roman" w:hAnsi="Times New Roman" w:eastAsia="宋体" w:cs="Times New Roman"/>
          <w:sz w:val="28"/>
          <w:szCs w:val="28"/>
        </w:rPr>
        <w:t>0.026%～0.0338%、TiO</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0.13%～0.62%、L.O.I0.86%～2.24%；未风化花岗岩：SO</w:t>
      </w:r>
      <w:r>
        <w:rPr>
          <w:rFonts w:hint="default" w:ascii="Times New Roman" w:hAnsi="Times New Roman" w:eastAsia="宋体" w:cs="Times New Roman"/>
          <w:sz w:val="28"/>
          <w:szCs w:val="28"/>
          <w:vertAlign w:val="subscript"/>
        </w:rPr>
        <w:t>3</w:t>
      </w:r>
      <w:r>
        <w:rPr>
          <w:rFonts w:hint="default" w:ascii="Times New Roman" w:hAnsi="Times New Roman" w:eastAsia="宋体" w:cs="Times New Roman"/>
          <w:sz w:val="28"/>
          <w:szCs w:val="28"/>
        </w:rPr>
        <w:t>0.01%～0.03%、SiO</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68.84%～73.66%、Ai</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O</w:t>
      </w:r>
      <w:r>
        <w:rPr>
          <w:rFonts w:hint="default" w:ascii="Times New Roman" w:hAnsi="Times New Roman" w:eastAsia="宋体" w:cs="Times New Roman"/>
          <w:sz w:val="28"/>
          <w:szCs w:val="28"/>
          <w:vertAlign w:val="subscript"/>
        </w:rPr>
        <w:t>3</w:t>
      </w:r>
      <w:r>
        <w:rPr>
          <w:rFonts w:hint="default" w:ascii="Times New Roman" w:hAnsi="Times New Roman" w:eastAsia="宋体" w:cs="Times New Roman"/>
          <w:sz w:val="28"/>
          <w:szCs w:val="28"/>
        </w:rPr>
        <w:t>8.86%～14.56%、Fe</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O</w:t>
      </w:r>
      <w:r>
        <w:rPr>
          <w:rFonts w:hint="default" w:ascii="Times New Roman" w:hAnsi="Times New Roman" w:eastAsia="宋体" w:cs="Times New Roman"/>
          <w:sz w:val="28"/>
          <w:szCs w:val="28"/>
          <w:vertAlign w:val="subscript"/>
        </w:rPr>
        <w:t>3</w:t>
      </w:r>
      <w:r>
        <w:rPr>
          <w:rFonts w:hint="default" w:ascii="Times New Roman" w:hAnsi="Times New Roman" w:eastAsia="宋体" w:cs="Times New Roman"/>
          <w:sz w:val="28"/>
          <w:szCs w:val="28"/>
        </w:rPr>
        <w:t>1.13%～2.37%、Cl</w:t>
      </w:r>
      <w:r>
        <w:rPr>
          <w:rFonts w:hint="default" w:ascii="Times New Roman" w:hAnsi="Times New Roman" w:eastAsia="宋体" w:cs="Times New Roman"/>
          <w:sz w:val="28"/>
          <w:szCs w:val="28"/>
          <w:vertAlign w:val="superscript"/>
        </w:rPr>
        <w:t>-</w:t>
      </w:r>
      <w:r>
        <w:rPr>
          <w:rFonts w:hint="default" w:ascii="Times New Roman" w:hAnsi="Times New Roman" w:eastAsia="宋体" w:cs="Times New Roman"/>
          <w:sz w:val="28"/>
          <w:szCs w:val="28"/>
        </w:rPr>
        <w:t>0.0056%～0.0087%、CaO0.75%～5.12%、MgO0.32%～2.1%、K</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O1.26%～5.96%、Na</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O1.83%～4.04%、P</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O</w:t>
      </w:r>
      <w:r>
        <w:rPr>
          <w:rFonts w:hint="default" w:ascii="Times New Roman" w:hAnsi="Times New Roman" w:eastAsia="宋体" w:cs="Times New Roman"/>
          <w:sz w:val="28"/>
          <w:szCs w:val="28"/>
          <w:vertAlign w:val="subscript"/>
        </w:rPr>
        <w:t>5</w:t>
      </w:r>
      <w:r>
        <w:rPr>
          <w:rFonts w:hint="default" w:ascii="Times New Roman" w:hAnsi="Times New Roman" w:eastAsia="宋体" w:cs="Times New Roman"/>
          <w:sz w:val="28"/>
          <w:szCs w:val="28"/>
        </w:rPr>
        <w:t>0.021%～0.0292%、TiO</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0.12%～0.73%、L.O.I0.78%～2.68%。</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（4）矿石放射性：矿区花岗岩的内照射指数Ira为0.11～0.83、外照射指数Ir为0.37～0.98，矿石放射性水平能满足建筑主体材料Ira≤1和Ir≤1的要求。</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3、矿石类型</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根据花岗岩的风化程度，矿石可分为三种自然类型：全风化花岗岩矿石、中风化花岗岩矿石、未风化花岗岩矿石。</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砂石骨料矿石类型，可分为两种工业类型：建筑用砂、建筑用碎石。其中全风化花岗岩、中风化花岗岩原矿经过干法制砂工艺，可生产出符合标准要求的建筑用砂。未风化花岗岩矿石，根据分析结果表明矿石碱集料反应合格、硫化物含量符合规范要求、物理测试结果符合Ⅱ类建筑用碎石。</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4、主要矿体（层）顶底板特征</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矿区花岗岩矿岩性为燕山晚期侵入的中细粒二云母二长花岗岩</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矿体位于第四系残坡积物之下。分为</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全风化花岗岩矿体、中风化花岗岩矿体、未风化花岗岩矿体。全风化花岗岩矿体控制总长约***m宽约***m，控制矿体厚***m，平均厚度约***m</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中风化花岗岩矿体控制总长约***m、宽约***m，控制矿体厚***m，平均厚度约***m</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未风化花岗岩矿体控制总长约***m、宽约***m，以最低准采标高***m为界，其厚度约为***m。</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全风化花岗岩矿体顶板为第四系残坡积物，底板为中风化花岗岩矿体；中风化花岗岩矿体顶板为全风化花岗岩矿体，底板为未风化花岗岩矿体；未风化花岗岩矿体顶板为中风化花岗岩矿体，底板亦为矿体。第四系残坡积物和全风化花岗岩稳定性差，中风化花岗岩稳定性一般，原生花岗岩稳定性好。</w:t>
      </w:r>
    </w:p>
    <w:p>
      <w:pPr>
        <w:pStyle w:val="3"/>
        <w:rPr>
          <w:rFonts w:hint="default" w:ascii="Times New Roman" w:hAnsi="Times New Roman" w:eastAsia="宋体" w:cs="Times New Roman"/>
        </w:rPr>
      </w:pPr>
      <w:bookmarkStart w:id="4" w:name="_Toc155772658"/>
      <w:r>
        <w:rPr>
          <w:rFonts w:hint="default" w:ascii="Times New Roman" w:hAnsi="Times New Roman" w:eastAsia="宋体" w:cs="Times New Roman"/>
        </w:rPr>
        <w:t>三、矿山开采与生态保护修复现状</w:t>
      </w:r>
      <w:bookmarkEnd w:id="4"/>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（一）矿山开采情况</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根据《汨罗市普通建筑材料用砂石土矿专项规划》（2019</w:t>
      </w:r>
      <w:r>
        <w:rPr>
          <w:rFonts w:hint="default" w:ascii="Times New Roman" w:hAnsi="Times New Roman" w:eastAsia="宋体" w:cs="Times New Roman"/>
          <w:sz w:val="28"/>
          <w:szCs w:val="28"/>
          <w:lang w:val="en-US" w:eastAsia="zh-CN"/>
        </w:rPr>
        <w:t>—</w:t>
      </w:r>
      <w:r>
        <w:rPr>
          <w:rFonts w:hint="default" w:ascii="Times New Roman" w:hAnsi="Times New Roman" w:eastAsia="宋体" w:cs="Times New Roman"/>
          <w:sz w:val="28"/>
          <w:szCs w:val="28"/>
        </w:rPr>
        <w:t>2025年），本矿山属“空白新设”，尚未进行矿山开发活动。</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（二）矿产资源开发利用方案</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1、开采方式</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方案推荐采用露天开采，可采用折返式公路汽车运输开拓方式，中深孔爆破、台阶式开采。</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2、矿山生产规模、服务年限</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矿山设计生产规模为***万m</w:t>
      </w:r>
      <w:r>
        <w:rPr>
          <w:rFonts w:hint="default" w:ascii="Times New Roman" w:hAnsi="Times New Roman" w:eastAsia="宋体" w:cs="Times New Roman"/>
          <w:sz w:val="28"/>
          <w:szCs w:val="28"/>
          <w:vertAlign w:val="superscript"/>
        </w:rPr>
        <w:t>3</w:t>
      </w:r>
      <w:r>
        <w:rPr>
          <w:rFonts w:hint="default" w:ascii="Times New Roman" w:hAnsi="Times New Roman" w:eastAsia="宋体" w:cs="Times New Roman"/>
          <w:sz w:val="28"/>
          <w:szCs w:val="28"/>
        </w:rPr>
        <w:t>/a（***万t/a），矿石开采主要为破碎、装运损失，损失量较少，方案设计回采率为***%，计算的服务年限为***年。</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3、矿山开拓及开采顺序</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（1）开拓方式</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本矿采用露天开采，露天山坡采用折返式公路汽车运输开拓方式。</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（2）开采顺序</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拟设采矿权准采高程（+***m～+***m）、矿区地形、地质特点和现有资源赋存状况，设计矿山未来开采最高平台为+***m台阶（剥离平台），台阶高度为***m，共划分为+***m～+***m、+***m～+***m、+***m～+***m、+***m～+***m、+***m～+***m、+***m～+***m、+***m～+***m、+***～+***m等***个台阶，平台宽度***m，其中+***m～+***m、+***m～+***m为清扫平台，平台宽度***m。</w:t>
      </w:r>
    </w:p>
    <w:p>
      <w:pPr>
        <w:spacing w:line="360" w:lineRule="auto"/>
        <w:ind w:firstLine="560" w:firstLineChars="200"/>
        <w:rPr>
          <w:rFonts w:hint="default" w:ascii="Times New Roman" w:hAnsi="Times New Roman" w:eastAsia="宋体" w:cs="Times New Roman"/>
          <w:b/>
          <w:sz w:val="24"/>
          <w:szCs w:val="24"/>
        </w:rPr>
      </w:pPr>
      <w:r>
        <w:rPr>
          <w:rFonts w:hint="default" w:ascii="Times New Roman" w:hAnsi="Times New Roman" w:eastAsia="宋体" w:cs="Times New Roman"/>
          <w:sz w:val="28"/>
          <w:szCs w:val="28"/>
        </w:rPr>
        <w:t>按“从上而下，采剥并举，剥离先行”的原则依次逐台阶进行剥离，开采沿工作线方向由高往低推进；基建工程首采区设在+***m、+***m台阶，备采矿量满足基建期年开采量。</w:t>
      </w:r>
    </w:p>
    <w:p>
      <w:pP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br w:type="page"/>
      </w:r>
    </w:p>
    <w:p>
      <w:pPr>
        <w:spacing w:line="360" w:lineRule="auto"/>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表1-3露采场各台阶</w:t>
      </w:r>
      <w:r>
        <w:rPr>
          <w:rFonts w:hint="eastAsia" w:ascii="Times New Roman" w:hAnsi="Times New Roman" w:eastAsia="宋体" w:cs="Times New Roman"/>
          <w:b/>
          <w:sz w:val="24"/>
          <w:szCs w:val="24"/>
          <w:lang w:val="en-US" w:eastAsia="zh-CN"/>
        </w:rPr>
        <w:t>开采计划</w:t>
      </w:r>
      <w:r>
        <w:rPr>
          <w:rFonts w:hint="default" w:ascii="Times New Roman" w:hAnsi="Times New Roman" w:eastAsia="宋体" w:cs="Times New Roman"/>
          <w:b/>
          <w:sz w:val="24"/>
          <w:szCs w:val="24"/>
        </w:rPr>
        <w:t>表</w:t>
      </w:r>
    </w:p>
    <w:tbl>
      <w:tblPr>
        <w:tblStyle w:val="12"/>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4"/>
        <w:gridCol w:w="889"/>
        <w:gridCol w:w="1020"/>
        <w:gridCol w:w="1020"/>
        <w:gridCol w:w="1020"/>
        <w:gridCol w:w="1020"/>
        <w:gridCol w:w="102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44" w:type="dxa"/>
            <w:vMerge w:val="restart"/>
            <w:tcBorders>
              <w:top w:val="double" w:color="000000" w:sz="4" w:space="0"/>
              <w:left w:val="nil"/>
              <w:bottom w:val="single" w:color="000000" w:sz="8" w:space="0"/>
              <w:right w:val="single" w:color="000000" w:sz="8" w:space="0"/>
            </w:tcBorders>
            <w:shd w:val="clear" w:color="auto" w:fill="auto"/>
            <w:vAlign w:val="center"/>
          </w:tcPr>
          <w:p>
            <w:pPr>
              <w:spacing w:line="0" w:lineRule="atLeast"/>
              <w:jc w:val="center"/>
              <w:rPr>
                <w:rFonts w:hint="default" w:ascii="Times New Roman" w:hAnsi="Times New Roman" w:eastAsia="宋体" w:cs="Times New Roman"/>
                <w:b/>
                <w:bCs/>
                <w:szCs w:val="21"/>
                <w:lang w:val="en-US" w:eastAsia="zh-CN"/>
              </w:rPr>
            </w:pPr>
            <w:r>
              <w:rPr>
                <w:rFonts w:hint="default" w:ascii="Times New Roman" w:hAnsi="Times New Roman" w:eastAsia="宋体" w:cs="Times New Roman"/>
                <w:b/>
                <w:bCs/>
                <w:szCs w:val="21"/>
                <w:lang w:val="en-US" w:eastAsia="zh-CN"/>
              </w:rPr>
              <w:t>台阶名称</w:t>
            </w:r>
          </w:p>
        </w:tc>
        <w:tc>
          <w:tcPr>
            <w:tcW w:w="1909" w:type="dxa"/>
            <w:gridSpan w:val="2"/>
            <w:tcBorders>
              <w:top w:val="double" w:color="000000" w:sz="4"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bCs/>
                <w:szCs w:val="21"/>
                <w:lang w:val="en-US" w:eastAsia="zh-CN"/>
              </w:rPr>
            </w:pPr>
            <w:r>
              <w:rPr>
                <w:rFonts w:hint="default" w:ascii="Times New Roman" w:hAnsi="Times New Roman" w:eastAsia="宋体" w:cs="Times New Roman"/>
                <w:b/>
                <w:bCs/>
                <w:szCs w:val="21"/>
                <w:lang w:val="en-US" w:eastAsia="zh-CN"/>
              </w:rPr>
              <w:t>剥离量（万m</w:t>
            </w:r>
            <w:r>
              <w:rPr>
                <w:rFonts w:hint="default" w:ascii="Times New Roman" w:hAnsi="Times New Roman" w:eastAsia="宋体" w:cs="Times New Roman"/>
                <w:b/>
                <w:bCs/>
                <w:szCs w:val="21"/>
                <w:vertAlign w:val="superscript"/>
                <w:lang w:val="en-US" w:eastAsia="zh-CN"/>
              </w:rPr>
              <w:t>3</w:t>
            </w:r>
            <w:r>
              <w:rPr>
                <w:rFonts w:hint="default" w:ascii="Times New Roman" w:hAnsi="Times New Roman" w:eastAsia="宋体" w:cs="Times New Roman"/>
                <w:b/>
                <w:bCs/>
                <w:szCs w:val="21"/>
                <w:lang w:val="en-US" w:eastAsia="zh-CN"/>
              </w:rPr>
              <w:t>）</w:t>
            </w:r>
          </w:p>
        </w:tc>
        <w:tc>
          <w:tcPr>
            <w:tcW w:w="4080" w:type="dxa"/>
            <w:gridSpan w:val="4"/>
            <w:tcBorders>
              <w:top w:val="double" w:color="000000" w:sz="4" w:space="0"/>
              <w:left w:val="single" w:color="000000" w:sz="8" w:space="0"/>
              <w:bottom w:val="single" w:color="000000" w:sz="8" w:space="0"/>
              <w:right w:val="nil"/>
            </w:tcBorders>
            <w:shd w:val="clear" w:color="auto" w:fill="auto"/>
            <w:noWrap/>
            <w:vAlign w:val="center"/>
          </w:tcPr>
          <w:p>
            <w:pPr>
              <w:spacing w:line="0" w:lineRule="atLeast"/>
              <w:jc w:val="center"/>
              <w:rPr>
                <w:rFonts w:hint="default" w:ascii="Times New Roman" w:hAnsi="Times New Roman" w:eastAsia="宋体" w:cs="Times New Roman"/>
                <w:b/>
                <w:bCs/>
                <w:szCs w:val="21"/>
                <w:lang w:val="en-US" w:eastAsia="zh-CN"/>
              </w:rPr>
            </w:pPr>
            <w:r>
              <w:rPr>
                <w:rFonts w:hint="default" w:ascii="Times New Roman" w:hAnsi="Times New Roman" w:eastAsia="宋体" w:cs="Times New Roman"/>
                <w:b/>
                <w:bCs/>
                <w:szCs w:val="21"/>
                <w:lang w:val="en-US" w:eastAsia="zh-CN"/>
              </w:rPr>
              <w:t>可采资源量（万t）</w:t>
            </w:r>
          </w:p>
        </w:tc>
        <w:tc>
          <w:tcPr>
            <w:tcW w:w="840" w:type="dxa"/>
            <w:vMerge w:val="restart"/>
            <w:tcBorders>
              <w:top w:val="double" w:color="000000" w:sz="4" w:space="0"/>
              <w:left w:val="single" w:color="000000" w:sz="8" w:space="0"/>
              <w:bottom w:val="single" w:color="000000" w:sz="8" w:space="0"/>
              <w:right w:val="nil"/>
            </w:tcBorders>
            <w:shd w:val="clear" w:color="auto" w:fill="auto"/>
            <w:vAlign w:val="center"/>
          </w:tcPr>
          <w:p>
            <w:pPr>
              <w:spacing w:line="0" w:lineRule="atLeast"/>
              <w:jc w:val="center"/>
              <w:rPr>
                <w:rFonts w:hint="default" w:ascii="Times New Roman" w:hAnsi="Times New Roman" w:eastAsia="宋体" w:cs="Times New Roman"/>
                <w:b/>
                <w:bCs/>
                <w:szCs w:val="21"/>
                <w:lang w:val="en-US" w:eastAsia="zh-CN"/>
              </w:rPr>
            </w:pPr>
            <w:r>
              <w:rPr>
                <w:rFonts w:hint="default" w:ascii="Times New Roman" w:hAnsi="Times New Roman" w:eastAsia="宋体" w:cs="Times New Roman"/>
                <w:b/>
                <w:bCs/>
                <w:szCs w:val="21"/>
                <w:lang w:val="en-US" w:eastAsia="zh-CN"/>
              </w:rPr>
              <w:t>服务年限（月）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44" w:type="dxa"/>
            <w:vMerge w:val="continue"/>
            <w:tcBorders>
              <w:top w:val="double" w:color="000000" w:sz="4" w:space="0"/>
              <w:left w:val="nil"/>
              <w:bottom w:val="single" w:color="000000" w:sz="8" w:space="0"/>
              <w:right w:val="single" w:color="000000" w:sz="8" w:space="0"/>
            </w:tcBorders>
            <w:shd w:val="clear" w:color="auto" w:fill="auto"/>
            <w:vAlign w:val="center"/>
          </w:tcPr>
          <w:p>
            <w:pPr>
              <w:spacing w:line="0" w:lineRule="atLeast"/>
              <w:jc w:val="center"/>
              <w:rPr>
                <w:rFonts w:hint="default" w:ascii="Times New Roman" w:hAnsi="Times New Roman" w:eastAsia="宋体" w:cs="Times New Roman"/>
                <w:b w:val="0"/>
                <w:bCs w:val="0"/>
                <w:szCs w:val="21"/>
                <w:lang w:val="en-US" w:eastAsia="zh-CN"/>
              </w:rPr>
            </w:pPr>
          </w:p>
        </w:tc>
        <w:tc>
          <w:tcPr>
            <w:tcW w:w="8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bCs/>
                <w:szCs w:val="21"/>
                <w:lang w:val="en-US" w:eastAsia="zh-CN"/>
              </w:rPr>
            </w:pPr>
            <w:r>
              <w:rPr>
                <w:rFonts w:hint="default" w:ascii="Times New Roman" w:hAnsi="Times New Roman" w:eastAsia="宋体" w:cs="Times New Roman"/>
                <w:b/>
                <w:bCs/>
                <w:szCs w:val="21"/>
                <w:lang w:val="en-US" w:eastAsia="zh-CN"/>
              </w:rPr>
              <w:t>第四系</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bCs/>
                <w:szCs w:val="21"/>
                <w:lang w:val="en-US" w:eastAsia="zh-CN"/>
              </w:rPr>
            </w:pPr>
            <w:r>
              <w:rPr>
                <w:rFonts w:hint="default" w:ascii="Times New Roman" w:hAnsi="Times New Roman" w:eastAsia="宋体" w:cs="Times New Roman"/>
                <w:b/>
                <w:bCs/>
                <w:szCs w:val="21"/>
                <w:lang w:val="en-US" w:eastAsia="zh-CN"/>
              </w:rPr>
              <w:t>小计</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bCs/>
                <w:szCs w:val="21"/>
                <w:lang w:val="en-US" w:eastAsia="zh-CN"/>
              </w:rPr>
            </w:pPr>
            <w:r>
              <w:rPr>
                <w:rFonts w:hint="default" w:ascii="Times New Roman" w:hAnsi="Times New Roman" w:eastAsia="宋体" w:cs="Times New Roman"/>
                <w:b/>
                <w:bCs/>
                <w:szCs w:val="21"/>
                <w:lang w:val="en-US" w:eastAsia="zh-CN"/>
              </w:rPr>
              <w:t>全风化花岗岩</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bCs/>
                <w:szCs w:val="21"/>
                <w:lang w:val="en-US" w:eastAsia="zh-CN"/>
              </w:rPr>
            </w:pPr>
            <w:r>
              <w:rPr>
                <w:rFonts w:hint="default" w:ascii="Times New Roman" w:hAnsi="Times New Roman" w:eastAsia="宋体" w:cs="Times New Roman"/>
                <w:b/>
                <w:bCs/>
                <w:szCs w:val="21"/>
                <w:lang w:val="en-US" w:eastAsia="zh-CN"/>
              </w:rPr>
              <w:t>中风化花岗岩</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bCs/>
                <w:szCs w:val="21"/>
                <w:lang w:val="en-US" w:eastAsia="zh-CN"/>
              </w:rPr>
            </w:pPr>
            <w:r>
              <w:rPr>
                <w:rFonts w:hint="default" w:ascii="Times New Roman" w:hAnsi="Times New Roman" w:eastAsia="宋体" w:cs="Times New Roman"/>
                <w:b/>
                <w:bCs/>
                <w:szCs w:val="21"/>
                <w:lang w:val="en-US" w:eastAsia="zh-CN"/>
              </w:rPr>
              <w:t>未风化花岗岩</w:t>
            </w:r>
          </w:p>
        </w:tc>
        <w:tc>
          <w:tcPr>
            <w:tcW w:w="1020" w:type="dxa"/>
            <w:tcBorders>
              <w:top w:val="single" w:color="000000" w:sz="8" w:space="0"/>
              <w:left w:val="single" w:color="000000" w:sz="8" w:space="0"/>
              <w:bottom w:val="single" w:color="000000" w:sz="8" w:space="0"/>
              <w:right w:val="nil"/>
            </w:tcBorders>
            <w:shd w:val="clear" w:color="auto" w:fill="auto"/>
            <w:noWrap/>
            <w:vAlign w:val="center"/>
          </w:tcPr>
          <w:p>
            <w:pPr>
              <w:spacing w:line="0" w:lineRule="atLeast"/>
              <w:jc w:val="center"/>
              <w:rPr>
                <w:rFonts w:hint="default" w:ascii="Times New Roman" w:hAnsi="Times New Roman" w:eastAsia="宋体" w:cs="Times New Roman"/>
                <w:b/>
                <w:bCs/>
                <w:szCs w:val="21"/>
                <w:lang w:val="en-US" w:eastAsia="zh-CN"/>
              </w:rPr>
            </w:pPr>
            <w:r>
              <w:rPr>
                <w:rFonts w:hint="default" w:ascii="Times New Roman" w:hAnsi="Times New Roman" w:eastAsia="宋体" w:cs="Times New Roman"/>
                <w:b/>
                <w:bCs/>
                <w:szCs w:val="21"/>
                <w:lang w:val="en-US" w:eastAsia="zh-CN"/>
              </w:rPr>
              <w:t>小计</w:t>
            </w:r>
          </w:p>
        </w:tc>
        <w:tc>
          <w:tcPr>
            <w:tcW w:w="840" w:type="dxa"/>
            <w:vMerge w:val="continue"/>
            <w:tcBorders>
              <w:top w:val="double" w:color="000000" w:sz="4" w:space="0"/>
              <w:left w:val="single" w:color="000000" w:sz="8" w:space="0"/>
              <w:bottom w:val="single" w:color="000000" w:sz="8" w:space="0"/>
              <w:right w:val="nil"/>
            </w:tcBorders>
            <w:shd w:val="clear" w:color="auto" w:fill="auto"/>
            <w:vAlign w:val="center"/>
          </w:tcPr>
          <w:p>
            <w:pPr>
              <w:spacing w:line="0" w:lineRule="atLeast"/>
              <w:jc w:val="center"/>
              <w:rPr>
                <w:rFonts w:hint="default" w:ascii="Times New Roman" w:hAnsi="Times New Roman" w:eastAsia="宋体" w:cs="Times New Roman"/>
                <w:b w:val="0"/>
                <w:bCs w:val="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44"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8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nil"/>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840" w:type="dxa"/>
            <w:vMerge w:val="restart"/>
            <w:tcBorders>
              <w:top w:val="single" w:color="000000" w:sz="8" w:space="0"/>
              <w:left w:val="single" w:color="000000" w:sz="8" w:space="0"/>
              <w:bottom w:val="single" w:color="000000" w:sz="8" w:space="0"/>
              <w:right w:val="nil"/>
            </w:tcBorders>
            <w:shd w:val="clear" w:color="auto" w:fill="auto"/>
            <w:vAlign w:val="center"/>
          </w:tcPr>
          <w:p>
            <w:pPr>
              <w:spacing w:line="0" w:lineRule="atLeast"/>
              <w:jc w:val="center"/>
              <w:rPr>
                <w:rFonts w:hint="eastAsia"/>
              </w:rPr>
            </w:pPr>
            <w:r>
              <w:rPr>
                <w:rFonts w:hint="eastAsia"/>
              </w:rPr>
              <w:t>***</w:t>
            </w:r>
          </w:p>
          <w:p>
            <w:pPr>
              <w:spacing w:line="0" w:lineRule="atLeast"/>
              <w:jc w:val="center"/>
              <w:rPr>
                <w:rFonts w:hint="default"/>
                <w:lang w:val="en-US" w:eastAsia="zh-CN"/>
              </w:rPr>
            </w:pP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44"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8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nil"/>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840" w:type="dxa"/>
            <w:vMerge w:val="continue"/>
            <w:tcBorders>
              <w:top w:val="single" w:color="000000" w:sz="8" w:space="0"/>
              <w:left w:val="single" w:color="000000" w:sz="8" w:space="0"/>
              <w:bottom w:val="single" w:color="000000" w:sz="8" w:space="0"/>
              <w:right w:val="nil"/>
            </w:tcBorders>
            <w:shd w:val="clear" w:color="auto" w:fill="auto"/>
            <w:vAlign w:val="center"/>
          </w:tcPr>
          <w:p>
            <w:pPr>
              <w:spacing w:line="0" w:lineRule="atLeast"/>
              <w:jc w:val="center"/>
              <w:rPr>
                <w:rFonts w:hint="default" w:ascii="Times New Roman" w:hAnsi="Times New Roman" w:eastAsia="宋体" w:cs="Times New Roman"/>
                <w:b w:val="0"/>
                <w:bCs w:val="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44"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8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nil"/>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840" w:type="dxa"/>
            <w:tcBorders>
              <w:top w:val="single" w:color="000000" w:sz="8" w:space="0"/>
              <w:left w:val="single" w:color="000000" w:sz="8" w:space="0"/>
              <w:bottom w:val="single" w:color="000000" w:sz="8" w:space="0"/>
              <w:right w:val="nil"/>
            </w:tcBorders>
            <w:shd w:val="clear" w:color="auto" w:fill="auto"/>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44"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8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nil"/>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840" w:type="dxa"/>
            <w:tcBorders>
              <w:top w:val="single" w:color="000000" w:sz="8" w:space="0"/>
              <w:left w:val="single" w:color="000000" w:sz="8" w:space="0"/>
              <w:bottom w:val="single" w:color="000000" w:sz="8" w:space="0"/>
              <w:right w:val="nil"/>
            </w:tcBorders>
            <w:shd w:val="clear" w:color="auto" w:fill="auto"/>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44"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8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nil"/>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840" w:type="dxa"/>
            <w:tcBorders>
              <w:top w:val="single" w:color="000000" w:sz="8" w:space="0"/>
              <w:left w:val="single" w:color="000000" w:sz="8" w:space="0"/>
              <w:bottom w:val="single" w:color="000000" w:sz="8" w:space="0"/>
              <w:right w:val="nil"/>
            </w:tcBorders>
            <w:shd w:val="clear" w:color="auto" w:fill="auto"/>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44"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8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nil"/>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840" w:type="dxa"/>
            <w:tcBorders>
              <w:top w:val="single" w:color="000000" w:sz="8" w:space="0"/>
              <w:left w:val="single" w:color="000000" w:sz="8" w:space="0"/>
              <w:bottom w:val="single" w:color="000000" w:sz="8" w:space="0"/>
              <w:right w:val="nil"/>
            </w:tcBorders>
            <w:shd w:val="clear" w:color="auto" w:fill="auto"/>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44"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8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nil"/>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840" w:type="dxa"/>
            <w:tcBorders>
              <w:top w:val="single" w:color="000000" w:sz="8" w:space="0"/>
              <w:left w:val="single" w:color="000000" w:sz="8" w:space="0"/>
              <w:bottom w:val="single" w:color="000000" w:sz="8" w:space="0"/>
              <w:right w:val="nil"/>
            </w:tcBorders>
            <w:shd w:val="clear" w:color="auto" w:fill="auto"/>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44"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8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nil"/>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840" w:type="dxa"/>
            <w:tcBorders>
              <w:top w:val="single" w:color="000000" w:sz="8" w:space="0"/>
              <w:left w:val="single" w:color="000000" w:sz="8" w:space="0"/>
              <w:bottom w:val="single" w:color="000000" w:sz="8" w:space="0"/>
              <w:right w:val="nil"/>
            </w:tcBorders>
            <w:shd w:val="clear" w:color="auto" w:fill="auto"/>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44"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8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1020" w:type="dxa"/>
            <w:tcBorders>
              <w:top w:val="single" w:color="000000" w:sz="8" w:space="0"/>
              <w:left w:val="single" w:color="000000" w:sz="8" w:space="0"/>
              <w:bottom w:val="single" w:color="000000" w:sz="8" w:space="0"/>
              <w:right w:val="nil"/>
            </w:tcBorders>
            <w:shd w:val="clear" w:color="auto" w:fill="auto"/>
            <w:noWrap/>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c>
          <w:tcPr>
            <w:tcW w:w="840" w:type="dxa"/>
            <w:tcBorders>
              <w:top w:val="single" w:color="000000" w:sz="8" w:space="0"/>
              <w:left w:val="single" w:color="000000" w:sz="8" w:space="0"/>
              <w:bottom w:val="single" w:color="000000" w:sz="8" w:space="0"/>
              <w:right w:val="nil"/>
            </w:tcBorders>
            <w:shd w:val="clear" w:color="auto" w:fill="auto"/>
            <w:vAlign w:val="center"/>
          </w:tcPr>
          <w:p>
            <w:pPr>
              <w:spacing w:line="0" w:lineRule="atLeast"/>
              <w:jc w:val="center"/>
              <w:rPr>
                <w:rFonts w:hint="default" w:ascii="Times New Roman" w:hAnsi="Times New Roman" w:eastAsia="宋体" w:cs="Times New Roman"/>
                <w:b w:val="0"/>
                <w:bCs w:val="0"/>
                <w:szCs w:val="21"/>
                <w:lang w:val="en-US" w:eastAsia="zh-CN"/>
              </w:rPr>
            </w:pP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44" w:type="dxa"/>
            <w:tcBorders>
              <w:top w:val="single" w:color="000000" w:sz="8" w:space="0"/>
              <w:left w:val="nil"/>
              <w:bottom w:val="double" w:color="000000" w:sz="4" w:space="0"/>
              <w:right w:val="single" w:color="000000" w:sz="8" w:space="0"/>
            </w:tcBorders>
            <w:shd w:val="clear" w:color="auto" w:fill="auto"/>
            <w:vAlign w:val="center"/>
          </w:tcPr>
          <w:p>
            <w:pPr>
              <w:spacing w:line="0" w:lineRule="atLeast"/>
              <w:jc w:val="center"/>
              <w:rPr>
                <w:rFonts w:hint="default" w:ascii="Times New Roman" w:hAnsi="Times New Roman" w:eastAsia="宋体" w:cs="Times New Roman"/>
                <w:b/>
                <w:bCs/>
                <w:szCs w:val="21"/>
                <w:lang w:val="en-US" w:eastAsia="zh-CN"/>
              </w:rPr>
            </w:pPr>
            <w:r>
              <w:rPr>
                <w:rFonts w:hint="default" w:ascii="Times New Roman" w:hAnsi="Times New Roman" w:eastAsia="宋体" w:cs="Times New Roman"/>
                <w:b/>
                <w:bCs/>
                <w:szCs w:val="21"/>
                <w:lang w:val="en-US" w:eastAsia="zh-CN"/>
              </w:rPr>
              <w:t>合计</w:t>
            </w:r>
          </w:p>
        </w:tc>
        <w:tc>
          <w:tcPr>
            <w:tcW w:w="889" w:type="dxa"/>
            <w:tcBorders>
              <w:top w:val="single" w:color="000000" w:sz="8" w:space="0"/>
              <w:left w:val="single" w:color="000000" w:sz="8" w:space="0"/>
              <w:bottom w:val="double" w:color="000000" w:sz="4"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bCs/>
                <w:szCs w:val="21"/>
                <w:lang w:val="en-US" w:eastAsia="zh-CN"/>
              </w:rPr>
            </w:pPr>
            <w:r>
              <w:rPr>
                <w:rFonts w:hint="eastAsia"/>
              </w:rPr>
              <w:t>***</w:t>
            </w:r>
          </w:p>
        </w:tc>
        <w:tc>
          <w:tcPr>
            <w:tcW w:w="1020" w:type="dxa"/>
            <w:tcBorders>
              <w:top w:val="single" w:color="000000" w:sz="8" w:space="0"/>
              <w:left w:val="single" w:color="000000" w:sz="8" w:space="0"/>
              <w:bottom w:val="double" w:color="000000" w:sz="4"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bCs/>
                <w:szCs w:val="21"/>
                <w:lang w:val="en-US" w:eastAsia="zh-CN"/>
              </w:rPr>
            </w:pPr>
            <w:r>
              <w:rPr>
                <w:rFonts w:hint="eastAsia"/>
              </w:rPr>
              <w:t>***</w:t>
            </w:r>
          </w:p>
        </w:tc>
        <w:tc>
          <w:tcPr>
            <w:tcW w:w="1020" w:type="dxa"/>
            <w:tcBorders>
              <w:top w:val="single" w:color="000000" w:sz="8" w:space="0"/>
              <w:left w:val="single" w:color="000000" w:sz="8" w:space="0"/>
              <w:bottom w:val="double" w:color="000000" w:sz="4"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bCs/>
                <w:szCs w:val="21"/>
                <w:lang w:val="en-US" w:eastAsia="zh-CN"/>
              </w:rPr>
            </w:pPr>
            <w:r>
              <w:rPr>
                <w:rFonts w:hint="eastAsia"/>
              </w:rPr>
              <w:t>***</w:t>
            </w:r>
          </w:p>
        </w:tc>
        <w:tc>
          <w:tcPr>
            <w:tcW w:w="1020" w:type="dxa"/>
            <w:tcBorders>
              <w:top w:val="single" w:color="000000" w:sz="8" w:space="0"/>
              <w:left w:val="single" w:color="000000" w:sz="8" w:space="0"/>
              <w:bottom w:val="double" w:color="000000" w:sz="4"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bCs/>
                <w:szCs w:val="21"/>
                <w:lang w:val="en-US" w:eastAsia="zh-CN"/>
              </w:rPr>
            </w:pPr>
            <w:r>
              <w:rPr>
                <w:rFonts w:hint="eastAsia"/>
              </w:rPr>
              <w:t>***</w:t>
            </w:r>
          </w:p>
        </w:tc>
        <w:tc>
          <w:tcPr>
            <w:tcW w:w="1020" w:type="dxa"/>
            <w:tcBorders>
              <w:top w:val="single" w:color="000000" w:sz="8" w:space="0"/>
              <w:left w:val="single" w:color="000000" w:sz="8" w:space="0"/>
              <w:bottom w:val="double" w:color="000000" w:sz="4" w:space="0"/>
              <w:right w:val="single" w:color="000000" w:sz="8" w:space="0"/>
            </w:tcBorders>
            <w:shd w:val="clear" w:color="auto" w:fill="auto"/>
            <w:noWrap/>
            <w:vAlign w:val="center"/>
          </w:tcPr>
          <w:p>
            <w:pPr>
              <w:spacing w:line="0" w:lineRule="atLeast"/>
              <w:jc w:val="center"/>
              <w:rPr>
                <w:rFonts w:hint="default" w:ascii="Times New Roman" w:hAnsi="Times New Roman" w:eastAsia="宋体" w:cs="Times New Roman"/>
                <w:b/>
                <w:bCs/>
                <w:szCs w:val="21"/>
                <w:lang w:val="en-US" w:eastAsia="zh-CN"/>
              </w:rPr>
            </w:pPr>
            <w:r>
              <w:rPr>
                <w:rFonts w:hint="eastAsia"/>
              </w:rPr>
              <w:t>***</w:t>
            </w:r>
          </w:p>
        </w:tc>
        <w:tc>
          <w:tcPr>
            <w:tcW w:w="1020" w:type="dxa"/>
            <w:tcBorders>
              <w:top w:val="single" w:color="000000" w:sz="8" w:space="0"/>
              <w:left w:val="single" w:color="000000" w:sz="8" w:space="0"/>
              <w:bottom w:val="double" w:color="000000" w:sz="4" w:space="0"/>
              <w:right w:val="nil"/>
            </w:tcBorders>
            <w:shd w:val="clear" w:color="auto" w:fill="auto"/>
            <w:noWrap/>
            <w:vAlign w:val="center"/>
          </w:tcPr>
          <w:p>
            <w:pPr>
              <w:spacing w:line="0" w:lineRule="atLeast"/>
              <w:jc w:val="center"/>
              <w:rPr>
                <w:rFonts w:hint="default" w:ascii="Times New Roman" w:hAnsi="Times New Roman" w:eastAsia="宋体" w:cs="Times New Roman"/>
                <w:b/>
                <w:bCs/>
                <w:szCs w:val="21"/>
                <w:lang w:val="en-US" w:eastAsia="zh-CN"/>
              </w:rPr>
            </w:pPr>
            <w:r>
              <w:rPr>
                <w:rFonts w:hint="eastAsia"/>
              </w:rPr>
              <w:t>***</w:t>
            </w:r>
          </w:p>
        </w:tc>
        <w:tc>
          <w:tcPr>
            <w:tcW w:w="840" w:type="dxa"/>
            <w:tcBorders>
              <w:top w:val="single" w:color="000000" w:sz="8" w:space="0"/>
              <w:left w:val="single" w:color="000000" w:sz="8" w:space="0"/>
              <w:bottom w:val="double" w:color="000000" w:sz="4" w:space="0"/>
              <w:right w:val="nil"/>
            </w:tcBorders>
            <w:shd w:val="clear" w:color="auto" w:fill="auto"/>
            <w:vAlign w:val="center"/>
          </w:tcPr>
          <w:p>
            <w:pPr>
              <w:spacing w:line="0" w:lineRule="atLeast"/>
              <w:jc w:val="center"/>
              <w:rPr>
                <w:rFonts w:hint="default" w:ascii="Times New Roman" w:hAnsi="Times New Roman" w:eastAsia="宋体" w:cs="Times New Roman"/>
                <w:b/>
                <w:bCs/>
                <w:szCs w:val="21"/>
                <w:lang w:val="en-US" w:eastAsia="zh-CN"/>
              </w:rPr>
            </w:pPr>
            <w:r>
              <w:rPr>
                <w:rFonts w:hint="eastAsia"/>
              </w:rPr>
              <w:t>***</w:t>
            </w:r>
          </w:p>
        </w:tc>
      </w:tr>
    </w:tbl>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4、开采的技术条件</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按照《矿产地质勘查规范建筑石料类》（DZ/T0341-2020）规范要求，确定拟设采矿权范围的开采技术指标如下：</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最低开采标高：+***m；</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剥采比≤0.5：***（</w:t>
      </w:r>
      <w:r>
        <w:rPr>
          <w:rFonts w:hint="default" w:ascii="Times New Roman" w:hAnsi="Times New Roman" w:eastAsia="宋体" w:cs="Times New Roman"/>
          <w:sz w:val="28"/>
          <w:szCs w:val="28"/>
          <w:lang w:eastAsia="zh-CN"/>
        </w:rPr>
        <w:t>m³</w:t>
      </w: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eastAsia="zh-CN"/>
        </w:rPr>
        <w:t>m³</w:t>
      </w:r>
      <w:r>
        <w:rPr>
          <w:rFonts w:hint="default" w:ascii="Times New Roman" w:hAnsi="Times New Roman" w:eastAsia="宋体" w:cs="Times New Roman"/>
          <w:sz w:val="28"/>
          <w:szCs w:val="28"/>
        </w:rPr>
        <w:t>）；</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最小可采厚度：***m；</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夹石剔除厚度：***m；</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最终开采边坡角：全、中风化花岗岩***°，未风化花岗岩***°；</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最小底盘宽度：***m；</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爆破安全距离：≥***m。</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5、运输方式</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方案推荐采用建设快、生产能力大、降深大、机动灵活的公路开拓系统，矿用自卸汽车运输方案。</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未来露天开采剥采工作是从采矿场的最高水平开始。开拓公路从山下折返式修至设计的采场最上部台阶，再由上至下向每一个台阶开拓公路支线与公路相连，台阶沟线沿山坡水平推进，然后由挖掘机将表层（强风化层）剥离装入自卸汽车或直接运至排土场；生成块石或碎石由挖掘机装入自卸载重汽车运至堆料场。</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6、矿山排水</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（1）露天防排水方案</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矿山水文地质条件属简单类型，露采坑充水因素主要是雨水和地表水，未来矿山开采矿体在+***m终了平台以上均为山坡露天采场，均可采用自流方式自然排水。</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未来矿山开采时，露采场排水汇入公路</w:t>
      </w:r>
      <w:r>
        <w:rPr>
          <w:rFonts w:hint="default" w:ascii="Times New Roman" w:hAnsi="Times New Roman" w:eastAsia="宋体" w:cs="Times New Roman"/>
          <w:sz w:val="28"/>
          <w:szCs w:val="28"/>
          <w:lang w:eastAsia="zh-CN"/>
        </w:rPr>
        <w:t>截水沟</w:t>
      </w:r>
      <w:r>
        <w:rPr>
          <w:rFonts w:hint="default" w:ascii="Times New Roman" w:hAnsi="Times New Roman" w:eastAsia="宋体" w:cs="Times New Roman"/>
          <w:sz w:val="28"/>
          <w:szCs w:val="28"/>
        </w:rPr>
        <w:t>，经公路</w:t>
      </w:r>
      <w:r>
        <w:rPr>
          <w:rFonts w:hint="default" w:ascii="Times New Roman" w:hAnsi="Times New Roman" w:eastAsia="宋体" w:cs="Times New Roman"/>
          <w:sz w:val="28"/>
          <w:szCs w:val="28"/>
          <w:lang w:eastAsia="zh-CN"/>
        </w:rPr>
        <w:t>截水沟</w:t>
      </w:r>
      <w:r>
        <w:rPr>
          <w:rFonts w:hint="default" w:ascii="Times New Roman" w:hAnsi="Times New Roman" w:eastAsia="宋体" w:cs="Times New Roman"/>
          <w:sz w:val="28"/>
          <w:szCs w:val="28"/>
        </w:rPr>
        <w:t>汇入露采场废水沉淀处理池，沉淀处理后用于矿山开采降尘、骨料加工或生态修复复垦工程用水等。</w:t>
      </w:r>
    </w:p>
    <w:p>
      <w:pPr>
        <w:spacing w:line="360" w:lineRule="auto"/>
        <w:ind w:firstLine="560" w:firstLineChars="20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rPr>
        <w:t>（2）境界外</w:t>
      </w:r>
      <w:r>
        <w:rPr>
          <w:rFonts w:hint="default" w:ascii="Times New Roman" w:hAnsi="Times New Roman" w:eastAsia="宋体" w:cs="Times New Roman"/>
          <w:sz w:val="28"/>
          <w:szCs w:val="28"/>
          <w:lang w:eastAsia="zh-CN"/>
        </w:rPr>
        <w:t>截水沟</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在采场周围挖砌建生态砼截水沟（排土场周边相同），将降水、地表水拦截排出。</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（3）台阶排水</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在+***m以上台阶平台设***‰的正坡，场内流水可自流排出。</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（4）主要排水设施</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因本矿污染源主要为泥沙及地表杂质等悬浮物，无化学、生物污染物，故地表汇水通过沉砂池沉淀后，排入外部排水系统。主要排水设施有排水沟、沉砂池。</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7、排土方案</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根据矿区现有地形形态，拟将排土场设置在矿权东侧山坳处，周边无主要水源、较大河流等。同时设计矿山公路将该排土场与采场相连。矿山未来露采场共剥离第四系覆盖层体积约***万</w:t>
      </w:r>
      <w:r>
        <w:rPr>
          <w:rFonts w:hint="default" w:ascii="Times New Roman" w:hAnsi="Times New Roman" w:eastAsia="宋体" w:cs="Times New Roman"/>
          <w:sz w:val="28"/>
          <w:szCs w:val="28"/>
          <w:lang w:eastAsia="zh-CN"/>
        </w:rPr>
        <w:t>m³</w:t>
      </w:r>
      <w:r>
        <w:rPr>
          <w:rFonts w:hint="default" w:ascii="Times New Roman" w:hAnsi="Times New Roman" w:eastAsia="宋体" w:cs="Times New Roman"/>
          <w:sz w:val="28"/>
          <w:szCs w:val="28"/>
        </w:rPr>
        <w:t>，未来将用于矿山生态修复及土地复垦。所需排土场的容积和计算公式如下：</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V＝K</w:t>
      </w:r>
      <w:r>
        <w:rPr>
          <w:rFonts w:hint="default" w:ascii="Times New Roman" w:hAnsi="Times New Roman" w:eastAsia="宋体" w:cs="Times New Roman"/>
          <w:sz w:val="28"/>
          <w:szCs w:val="28"/>
          <w:vertAlign w:val="subscript"/>
        </w:rPr>
        <w:t>1</w:t>
      </w:r>
      <w:r>
        <w:rPr>
          <w:rFonts w:hint="default" w:ascii="Times New Roman" w:hAnsi="Times New Roman" w:eastAsia="宋体" w:cs="Times New Roman"/>
          <w:sz w:val="28"/>
          <w:szCs w:val="28"/>
        </w:rPr>
        <w:t>×K</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×V</w:t>
      </w:r>
      <w:r>
        <w:rPr>
          <w:rFonts w:hint="default" w:ascii="Times New Roman" w:hAnsi="Times New Roman" w:eastAsia="宋体" w:cs="Times New Roman"/>
          <w:sz w:val="28"/>
          <w:szCs w:val="28"/>
          <w:vertAlign w:val="subscript"/>
        </w:rPr>
        <w:t>1</w:t>
      </w:r>
      <w:r>
        <w:rPr>
          <w:rFonts w:hint="default" w:ascii="Times New Roman" w:hAnsi="Times New Roman" w:eastAsia="宋体" w:cs="Times New Roman"/>
          <w:sz w:val="28"/>
          <w:szCs w:val="28"/>
        </w:rPr>
        <w:t>÷（1＋K</w:t>
      </w:r>
      <w:r>
        <w:rPr>
          <w:rFonts w:hint="default" w:ascii="Times New Roman" w:hAnsi="Times New Roman" w:eastAsia="宋体" w:cs="Times New Roman"/>
          <w:sz w:val="28"/>
          <w:szCs w:val="28"/>
          <w:vertAlign w:val="subscript"/>
        </w:rPr>
        <w:t>3</w:t>
      </w:r>
      <w:r>
        <w:rPr>
          <w:rFonts w:hint="default" w:ascii="Times New Roman" w:hAnsi="Times New Roman" w:eastAsia="宋体" w:cs="Times New Roman"/>
          <w:sz w:val="28"/>
          <w:szCs w:val="28"/>
        </w:rPr>
        <w:t>）＝***≈***万</w:t>
      </w:r>
      <w:r>
        <w:rPr>
          <w:rFonts w:hint="default" w:ascii="Times New Roman" w:hAnsi="Times New Roman" w:eastAsia="宋体" w:cs="Times New Roman"/>
          <w:sz w:val="28"/>
          <w:szCs w:val="28"/>
          <w:lang w:eastAsia="zh-CN"/>
        </w:rPr>
        <w:t>m³</w:t>
      </w:r>
      <w:r>
        <w:rPr>
          <w:rFonts w:hint="default" w:ascii="Times New Roman" w:hAnsi="Times New Roman" w:eastAsia="宋体" w:cs="Times New Roman"/>
          <w:sz w:val="28"/>
          <w:szCs w:val="28"/>
        </w:rPr>
        <w:t>。</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式中：V—排土场的容积（万</w:t>
      </w:r>
      <w:r>
        <w:rPr>
          <w:rFonts w:hint="default" w:ascii="Times New Roman" w:hAnsi="Times New Roman" w:eastAsia="宋体" w:cs="Times New Roman"/>
          <w:sz w:val="28"/>
          <w:szCs w:val="28"/>
          <w:lang w:eastAsia="zh-CN"/>
        </w:rPr>
        <w:t>m³</w:t>
      </w:r>
      <w:r>
        <w:rPr>
          <w:rFonts w:hint="default" w:ascii="Times New Roman" w:hAnsi="Times New Roman" w:eastAsia="宋体" w:cs="Times New Roman"/>
          <w:sz w:val="28"/>
          <w:szCs w:val="28"/>
        </w:rPr>
        <w:t>）；</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V</w:t>
      </w:r>
      <w:r>
        <w:rPr>
          <w:rFonts w:hint="default" w:ascii="Times New Roman" w:hAnsi="Times New Roman" w:eastAsia="宋体" w:cs="Times New Roman"/>
          <w:sz w:val="28"/>
          <w:szCs w:val="28"/>
          <w:vertAlign w:val="subscript"/>
        </w:rPr>
        <w:t>1</w:t>
      </w:r>
      <w:r>
        <w:rPr>
          <w:rFonts w:hint="default" w:ascii="Times New Roman" w:hAnsi="Times New Roman" w:eastAsia="宋体" w:cs="Times New Roman"/>
          <w:sz w:val="28"/>
          <w:szCs w:val="28"/>
        </w:rPr>
        <w:t>—计划在排土场排弃的剥离量（***万m</w:t>
      </w:r>
      <w:r>
        <w:rPr>
          <w:rFonts w:hint="default" w:ascii="Times New Roman" w:hAnsi="Times New Roman" w:eastAsia="宋体" w:cs="Times New Roman"/>
          <w:sz w:val="28"/>
          <w:szCs w:val="28"/>
          <w:vertAlign w:val="superscript"/>
        </w:rPr>
        <w:t>3</w:t>
      </w:r>
      <w:r>
        <w:rPr>
          <w:rFonts w:hint="default" w:ascii="Times New Roman" w:hAnsi="Times New Roman" w:eastAsia="宋体" w:cs="Times New Roman"/>
          <w:sz w:val="28"/>
          <w:szCs w:val="28"/>
        </w:rPr>
        <w:t>）；</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K</w:t>
      </w:r>
      <w:r>
        <w:rPr>
          <w:rFonts w:hint="default" w:ascii="Times New Roman" w:hAnsi="Times New Roman" w:eastAsia="宋体" w:cs="Times New Roman"/>
          <w:sz w:val="28"/>
          <w:szCs w:val="28"/>
          <w:vertAlign w:val="subscript"/>
        </w:rPr>
        <w:t>1</w:t>
      </w:r>
      <w:r>
        <w:rPr>
          <w:rFonts w:hint="default" w:ascii="Times New Roman" w:hAnsi="Times New Roman" w:eastAsia="宋体" w:cs="Times New Roman"/>
          <w:sz w:val="28"/>
          <w:szCs w:val="28"/>
        </w:rPr>
        <w:t>—富余系数（1.05）；</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K</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—岩土松散系数（1.3）；</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K</w:t>
      </w:r>
      <w:r>
        <w:rPr>
          <w:rFonts w:hint="default" w:ascii="Times New Roman" w:hAnsi="Times New Roman" w:eastAsia="宋体" w:cs="Times New Roman"/>
          <w:sz w:val="28"/>
          <w:szCs w:val="28"/>
          <w:vertAlign w:val="subscript"/>
        </w:rPr>
        <w:t>3</w:t>
      </w:r>
      <w:r>
        <w:rPr>
          <w:rFonts w:hint="default" w:ascii="Times New Roman" w:hAnsi="Times New Roman" w:eastAsia="宋体" w:cs="Times New Roman"/>
          <w:sz w:val="28"/>
          <w:szCs w:val="28"/>
        </w:rPr>
        <w:t>—岩土下沉系数（0.06）。</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经计算，拟设排土场需要的容积约***万m</w:t>
      </w:r>
      <w:r>
        <w:rPr>
          <w:rFonts w:hint="default" w:ascii="Times New Roman" w:hAnsi="Times New Roman" w:eastAsia="宋体" w:cs="Times New Roman"/>
          <w:sz w:val="28"/>
          <w:szCs w:val="28"/>
          <w:vertAlign w:val="superscript"/>
        </w:rPr>
        <w:t>3</w:t>
      </w:r>
      <w:r>
        <w:rPr>
          <w:rFonts w:hint="default" w:ascii="Times New Roman" w:hAnsi="Times New Roman" w:eastAsia="宋体" w:cs="Times New Roman"/>
          <w:sz w:val="28"/>
          <w:szCs w:val="28"/>
        </w:rPr>
        <w:t>。拟设排土场最大堆放容积***万m</w:t>
      </w:r>
      <w:r>
        <w:rPr>
          <w:rFonts w:hint="default" w:ascii="Times New Roman" w:hAnsi="Times New Roman" w:eastAsia="宋体" w:cs="Times New Roman"/>
          <w:sz w:val="28"/>
          <w:szCs w:val="28"/>
          <w:vertAlign w:val="superscript"/>
        </w:rPr>
        <w:t>3</w:t>
      </w:r>
      <w:r>
        <w:rPr>
          <w:rFonts w:hint="default" w:ascii="Times New Roman" w:hAnsi="Times New Roman" w:eastAsia="宋体" w:cs="Times New Roman"/>
          <w:sz w:val="28"/>
          <w:szCs w:val="28"/>
        </w:rPr>
        <w:t>，可容纳排土体积为***万m</w:t>
      </w:r>
      <w:r>
        <w:rPr>
          <w:rFonts w:hint="default" w:ascii="Times New Roman" w:hAnsi="Times New Roman" w:eastAsia="宋体" w:cs="Times New Roman"/>
          <w:sz w:val="28"/>
          <w:szCs w:val="28"/>
          <w:vertAlign w:val="superscript"/>
        </w:rPr>
        <w:t>3</w:t>
      </w:r>
      <w:r>
        <w:rPr>
          <w:rFonts w:hint="default" w:ascii="Times New Roman" w:hAnsi="Times New Roman" w:eastAsia="宋体" w:cs="Times New Roman"/>
          <w:sz w:val="28"/>
          <w:szCs w:val="28"/>
        </w:rPr>
        <w:t>。同时部分剥离量可用于修砌护坡，部分土方就近填于山谷低洼地带进行统一绿化、复垦。</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8、产品方案</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未来矿山开采的矿石只需经过破碎、分级过筛，即可获得不同粒级石料产品，矿山生产的机制砂主要用于C60及以下混凝土，生产的建筑用碎石主要供应岳阳市和周边乡镇修建国道、省道、房屋建筑</w:t>
      </w:r>
      <w:r>
        <w:rPr>
          <w:rFonts w:hint="default" w:ascii="Times New Roman" w:hAnsi="Times New Roman" w:eastAsia="宋体" w:cs="Times New Roman"/>
          <w:sz w:val="28"/>
          <w:szCs w:val="28"/>
          <w:lang w:eastAsia="zh-CN"/>
        </w:rPr>
        <w:t>及其他</w:t>
      </w:r>
      <w:r>
        <w:rPr>
          <w:rFonts w:hint="default" w:ascii="Times New Roman" w:hAnsi="Times New Roman" w:eastAsia="宋体" w:cs="Times New Roman"/>
          <w:sz w:val="28"/>
          <w:szCs w:val="28"/>
        </w:rPr>
        <w:t>混凝土工程。</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9、厂址选择</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整平露采场西侧直距约***m的山丘，作为工业场地，主要布置办公区、职工食堂、变压器房等场地设备设施（具体以专项设计为准）。拟将排土场设置在矿权东侧山坳处。矿区内道路、供水、供电等配套设施基本齐全。</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10、矿石加工工艺</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本项目为新建，项目一次建成，方案设建筑用砂、建筑用碎石系统各一套。</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全（中）风化花岗岩矿采用无筛干法制砂工艺、二级气流分选设备，物料通过提升机进入第一级气流分选设备，把原料中的泥和小颗粒云母分选出来，然后再进入柱磨机进行破碎整形，破碎整形后的物料通过提升机送入第二级气流分选设备进行砂、粉（云母）分离，从而实现机制砂和云母的可调可控，达到砂的要求。</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矿山开采的未风化花岗岩矿采用一般破碎机械加工即可达到不同粒度要求，其加工过程简单，加工技术性能良好。矿石通过自卸汽车将矿石后卸进入粗破车间入料缓冲仓，之后经带式输送机送至加工生产线。</w:t>
      </w:r>
    </w:p>
    <w:p>
      <w:pPr>
        <w:spacing w:line="360" w:lineRule="auto"/>
        <w:ind w:firstLine="562" w:firstLineChars="200"/>
        <w:rPr>
          <w:rFonts w:hint="default" w:ascii="Times New Roman" w:hAnsi="Times New Roman" w:eastAsia="宋体" w:cs="Times New Roman"/>
          <w:b/>
          <w:bCs/>
          <w:sz w:val="28"/>
          <w:szCs w:val="28"/>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spacing w:line="360" w:lineRule="auto"/>
        <w:ind w:firstLine="562" w:firstLineChars="200"/>
        <w:jc w:val="center"/>
        <w:rPr>
          <w:rFonts w:hint="default" w:ascii="Times New Roman" w:hAnsi="Times New Roman" w:eastAsia="宋体" w:cs="Times New Roman"/>
          <w:b/>
          <w:bCs/>
          <w:sz w:val="28"/>
          <w:szCs w:val="28"/>
          <w:lang w:eastAsia="zh-CN"/>
        </w:rPr>
        <w:sectPr>
          <w:pgSz w:w="23811" w:h="16838"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（三）矿山生态保护修复现状</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本矿山为新建矿山，工业广场、排土场的选址避开了永久基本农田、生态公益林等，减少了对农田</w:t>
      </w:r>
      <w:r>
        <w:rPr>
          <w:rFonts w:hint="default" w:ascii="Times New Roman" w:hAnsi="Times New Roman" w:eastAsia="宋体" w:cs="Times New Roman"/>
          <w:sz w:val="28"/>
          <w:szCs w:val="28"/>
          <w:lang w:val="en-US" w:eastAsia="zh-CN"/>
        </w:rPr>
        <w:t>和生态环境</w:t>
      </w:r>
      <w:r>
        <w:rPr>
          <w:rFonts w:hint="default" w:ascii="Times New Roman" w:hAnsi="Times New Roman" w:eastAsia="宋体" w:cs="Times New Roman"/>
          <w:sz w:val="28"/>
          <w:szCs w:val="28"/>
        </w:rPr>
        <w:t>的影响。矿山300米影响范围内的民房也已协商搬迁避让</w:t>
      </w:r>
      <w:r>
        <w:rPr>
          <w:rFonts w:hint="default"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矿山企业已与涉及农户</w:t>
      </w:r>
      <w:r>
        <w:rPr>
          <w:rFonts w:hint="default" w:ascii="Times New Roman" w:hAnsi="Times New Roman" w:eastAsia="宋体" w:cs="Times New Roman"/>
          <w:sz w:val="28"/>
          <w:szCs w:val="28"/>
          <w:lang w:val="en-US" w:eastAsia="zh-CN"/>
        </w:rPr>
        <w:t>签订</w:t>
      </w:r>
      <w:r>
        <w:rPr>
          <w:rFonts w:hint="eastAsia" w:ascii="Times New Roman" w:hAnsi="Times New Roman" w:eastAsia="宋体" w:cs="Times New Roman"/>
          <w:sz w:val="28"/>
          <w:szCs w:val="28"/>
          <w:lang w:val="en-US" w:eastAsia="zh-CN"/>
        </w:rPr>
        <w:t>了</w:t>
      </w:r>
      <w:r>
        <w:rPr>
          <w:rFonts w:hint="default" w:ascii="Times New Roman" w:hAnsi="Times New Roman" w:eastAsia="宋体" w:cs="Times New Roman"/>
          <w:sz w:val="28"/>
          <w:szCs w:val="28"/>
          <w:lang w:val="en-US" w:eastAsia="zh-CN"/>
        </w:rPr>
        <w:t>房屋拆迁补偿安置协议（详见附件</w:t>
      </w:r>
      <w:r>
        <w:rPr>
          <w:rFonts w:hint="eastAsia" w:ascii="Times New Roman" w:hAnsi="Times New Roman" w:eastAsia="宋体" w:cs="Times New Roman"/>
          <w:sz w:val="28"/>
          <w:szCs w:val="28"/>
          <w:lang w:val="en-US" w:eastAsia="zh-CN"/>
        </w:rPr>
        <w:t>10</w:t>
      </w:r>
      <w:r>
        <w:rPr>
          <w:rFonts w:hint="default" w:ascii="Times New Roman" w:hAnsi="Times New Roman" w:eastAsia="宋体" w:cs="Times New Roman"/>
          <w:sz w:val="28"/>
          <w:szCs w:val="28"/>
          <w:lang w:val="en-US" w:eastAsia="zh-CN"/>
        </w:rPr>
        <w:t>）</w:t>
      </w:r>
      <w:r>
        <w:rPr>
          <w:rFonts w:hint="default" w:ascii="Times New Roman" w:hAnsi="Times New Roman" w:eastAsia="宋体" w:cs="Times New Roman"/>
          <w:sz w:val="28"/>
          <w:szCs w:val="28"/>
        </w:rPr>
        <w:t>。</w:t>
      </w:r>
    </w:p>
    <w:p>
      <w:pPr>
        <w:widowControl/>
        <w:jc w:val="left"/>
        <w:rPr>
          <w:rFonts w:hint="default" w:ascii="Times New Roman" w:hAnsi="Times New Roman" w:eastAsia="宋体" w:cs="Times New Roman"/>
          <w:color w:val="FF0000"/>
          <w:sz w:val="28"/>
          <w:szCs w:val="28"/>
        </w:rPr>
      </w:pPr>
      <w:r>
        <w:rPr>
          <w:rFonts w:hint="default" w:ascii="Times New Roman" w:hAnsi="Times New Roman" w:eastAsia="宋体" w:cs="Times New Roman"/>
          <w:color w:val="FF0000"/>
          <w:sz w:val="28"/>
          <w:szCs w:val="28"/>
        </w:rPr>
        <w:br w:type="page"/>
      </w:r>
    </w:p>
    <w:p>
      <w:pPr>
        <w:pStyle w:val="2"/>
        <w:numPr>
          <w:ilvl w:val="0"/>
          <w:numId w:val="1"/>
        </w:numPr>
        <w:jc w:val="center"/>
        <w:rPr>
          <w:rFonts w:hint="default" w:ascii="Times New Roman" w:hAnsi="Times New Roman" w:eastAsia="黑体" w:cs="Times New Roman"/>
        </w:rPr>
      </w:pPr>
      <w:bookmarkStart w:id="5" w:name="_Toc155772659"/>
      <w:r>
        <w:rPr>
          <w:rFonts w:hint="default" w:ascii="Times New Roman" w:hAnsi="Times New Roman" w:eastAsia="黑体" w:cs="Times New Roman"/>
        </w:rPr>
        <w:t>矿山生态环境背景</w:t>
      </w:r>
      <w:bookmarkEnd w:id="5"/>
    </w:p>
    <w:p>
      <w:pPr>
        <w:pStyle w:val="3"/>
        <w:rPr>
          <w:rFonts w:hint="default" w:ascii="Times New Roman" w:hAnsi="Times New Roman" w:eastAsia="宋体" w:cs="Times New Roman"/>
        </w:rPr>
      </w:pPr>
      <w:bookmarkStart w:id="6" w:name="_Toc155772660"/>
      <w:r>
        <w:rPr>
          <w:rFonts w:hint="default" w:ascii="Times New Roman" w:hAnsi="Times New Roman" w:eastAsia="宋体" w:cs="Times New Roman"/>
        </w:rPr>
        <w:t>一、自然地理</w:t>
      </w:r>
      <w:bookmarkEnd w:id="6"/>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（一）地形地貌</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区属于丘陵地貌，地形特征为南西部高北东部低，最高点位于矿区南西部，海拔标高***m，最低点位于矿区西北部，海拔标高***m，相对高差***m，地形切割深度各处不一，山体呈圆锥状，山顶半浑圆状，坡面一般为***°左右，局部地段***°～***°。矿区中部分布一近南北向展布的山脊，为矿区地表、地下水分水岭，两侧均发育一近东西向冲沟，最低侵蚀基准面为***m，位于矿区外北部水沟附近。</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区内植被发育较好，山坡地段为杉木、灌木林混生林地。矿区北侧，西侧，东侧为基本农田，分布于第四系地层中。</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（二）气象</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汨罗市属中亚热带向北亚热带过渡的大陆性季风湿润气候，四季分明，寒冷期短，炎热期长。据汨罗市1990～202</w:t>
      </w:r>
      <w:r>
        <w:rPr>
          <w:rFonts w:hint="eastAsia"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rPr>
        <w:t>年水文气象资料，汨罗市日平均气温17.6℃，最冷月（一月）平均5.0℃，最热月（七月）平均29.4℃。历年极端最高气温41.1℃（2003年8月2日），极端最低气温-11.7℃（1991年12月29日），年平均无霜期260天，年平均日照1510.9小时，占可照时数的34%，年平均风速2.0m/s，最多风向为nw，最大风速19.7m/s（1997年6月7日）。境内雨水充足，年均降水量1472.9mm，年最大降水量2186.1mm（2002）；年最小降水量828.3mm（2003）；月最大降水量540.4mm（993.07）；日最大降水量192.7mm（2010.6.19）；时最大降雨量84.3mm；年平均蒸发量1194.9mm，平均相对湿度81%，年雷暴日数36天，年雾日23天。</w:t>
      </w:r>
    </w:p>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（三）水文</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矿区范围内及周边地表水系较发育，矿区南西侧300m、西侧200m处各有一座小（Ⅱ）型水库名为</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上刘家洞水库</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下刘家洞水库</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，上刘家洞水库水域面积***</w:t>
      </w:r>
      <w:r>
        <w:rPr>
          <w:rFonts w:hint="eastAsia" w:ascii="Times New Roman" w:hAnsi="Times New Roman" w:eastAsia="宋体" w:cs="Times New Roman"/>
          <w:sz w:val="28"/>
          <w:szCs w:val="28"/>
          <w:lang w:eastAsia="zh-CN"/>
        </w:rPr>
        <w:t>km²</w:t>
      </w:r>
      <w:r>
        <w:rPr>
          <w:rFonts w:hint="default" w:ascii="Times New Roman" w:hAnsi="Times New Roman" w:eastAsia="宋体" w:cs="Times New Roman"/>
          <w:sz w:val="28"/>
          <w:szCs w:val="28"/>
        </w:rPr>
        <w:t>，总库容***万</w:t>
      </w:r>
      <w:r>
        <w:rPr>
          <w:rFonts w:hint="default" w:ascii="Times New Roman" w:hAnsi="Times New Roman" w:eastAsia="宋体" w:cs="Times New Roman"/>
          <w:sz w:val="28"/>
          <w:szCs w:val="28"/>
          <w:lang w:eastAsia="zh-CN"/>
        </w:rPr>
        <w:t>m³</w:t>
      </w:r>
      <w:r>
        <w:rPr>
          <w:rFonts w:hint="default" w:ascii="Times New Roman" w:hAnsi="Times New Roman" w:eastAsia="宋体" w:cs="Times New Roman"/>
          <w:sz w:val="28"/>
          <w:szCs w:val="28"/>
        </w:rPr>
        <w:t>，正常蓄水位***m；下刘家洞水库水域面积***</w:t>
      </w:r>
      <w:r>
        <w:rPr>
          <w:rFonts w:hint="eastAsia" w:ascii="Times New Roman" w:hAnsi="Times New Roman" w:eastAsia="宋体" w:cs="Times New Roman"/>
          <w:sz w:val="28"/>
          <w:szCs w:val="28"/>
          <w:lang w:eastAsia="zh-CN"/>
        </w:rPr>
        <w:t>km²</w:t>
      </w:r>
      <w:r>
        <w:rPr>
          <w:rFonts w:hint="default" w:ascii="Times New Roman" w:hAnsi="Times New Roman" w:eastAsia="宋体" w:cs="Times New Roman"/>
          <w:sz w:val="28"/>
          <w:szCs w:val="28"/>
        </w:rPr>
        <w:t>，总库容***万</w:t>
      </w:r>
      <w:r>
        <w:rPr>
          <w:rFonts w:hint="default" w:ascii="Times New Roman" w:hAnsi="Times New Roman" w:eastAsia="宋体" w:cs="Times New Roman"/>
          <w:sz w:val="28"/>
          <w:szCs w:val="28"/>
          <w:lang w:eastAsia="zh-CN"/>
        </w:rPr>
        <w:t>m³</w:t>
      </w:r>
      <w:r>
        <w:rPr>
          <w:rFonts w:hint="default" w:ascii="Times New Roman" w:hAnsi="Times New Roman" w:eastAsia="宋体" w:cs="Times New Roman"/>
          <w:sz w:val="28"/>
          <w:szCs w:val="28"/>
        </w:rPr>
        <w:t>，正常蓄水位***m，为当地农田的灌溉水源，非饮用水源保护区。矿区周边有三十多个大大小小的水塘，水域面积约***</w:t>
      </w:r>
      <w:r>
        <w:rPr>
          <w:rFonts w:hint="eastAsia" w:ascii="Times New Roman" w:hAnsi="Times New Roman" w:eastAsia="宋体" w:cs="Times New Roman"/>
          <w:sz w:val="28"/>
          <w:szCs w:val="28"/>
          <w:lang w:eastAsia="zh-CN"/>
        </w:rPr>
        <w:t>km²</w:t>
      </w:r>
      <w:r>
        <w:rPr>
          <w:rFonts w:hint="default" w:ascii="Times New Roman" w:hAnsi="Times New Roman" w:eastAsia="宋体" w:cs="Times New Roman"/>
          <w:sz w:val="28"/>
          <w:szCs w:val="28"/>
        </w:rPr>
        <w:t>，水深***m，水量约***万</w:t>
      </w:r>
      <w:r>
        <w:rPr>
          <w:rFonts w:hint="default" w:ascii="Times New Roman" w:hAnsi="Times New Roman" w:eastAsia="宋体" w:cs="Times New Roman"/>
          <w:sz w:val="28"/>
          <w:szCs w:val="28"/>
          <w:lang w:eastAsia="zh-CN"/>
        </w:rPr>
        <w:t>m³</w:t>
      </w:r>
      <w:r>
        <w:rPr>
          <w:rFonts w:hint="default" w:ascii="Times New Roman" w:hAnsi="Times New Roman" w:eastAsia="宋体" w:cs="Times New Roman"/>
          <w:sz w:val="28"/>
          <w:szCs w:val="28"/>
        </w:rPr>
        <w:t>，地表水受季节影响较大。</w:t>
      </w:r>
    </w:p>
    <w:p>
      <w:pPr>
        <w:pStyle w:val="3"/>
        <w:rPr>
          <w:rFonts w:hint="default" w:ascii="Times New Roman" w:hAnsi="Times New Roman" w:eastAsia="宋体" w:cs="Times New Roman"/>
        </w:rPr>
      </w:pPr>
      <w:bookmarkStart w:id="7" w:name="_Toc155772661"/>
      <w:r>
        <w:rPr>
          <w:rFonts w:hint="default" w:ascii="Times New Roman" w:hAnsi="Times New Roman" w:eastAsia="宋体" w:cs="Times New Roman"/>
        </w:rPr>
        <w:t>二、地质环境</w:t>
      </w:r>
      <w:bookmarkEnd w:id="7"/>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（一）地层岩性</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区内出露地层简单，主要为第四系，分布于低洼沟谷处，由砂、砾石、粘土和植物根等组成，表层为腐殖土，其下为残坡积物，对矿床开采无影响。其次在矿体上的第四系厚度不大，分布不均一，厚度***m，平均厚度约***m，开采时为剥离对象。</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（二）地质构造</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区内构造较简单，岩体结构完整，地表风化面多呈球状。本矿区未见明显的断裂构造。</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（三）岩浆岩</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区位于望湘岩体（基）东部，区内出露大片燕山晚期花岗岩，岩性为二云母二长花岗岩，呈灰褐色，灰绿色、灰白色，中细粒花岗结构，块状构造，成分主要为正长石、斜长石、石英，及少量云母、绿泥石等，岩石致密、坚硬。局部发育有细小伟晶岩脉，脉宽0.1m～0.3m，呈白色、灰白色，主要成分为长石、石英、云母等。</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区南西侧岩性为钾长石化花岗岩，通过地面伽玛能谱测量、放射性采样分析、填图、剥土、钻孔岩芯圈定，呈浅红色、肉红色及红色，局部见白色及灰白色，岩石具粒状变晶结构，钾长石粒径粗细变化较大，以他形</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半自形粒状变晶结构为主，当原岩的矿物、结构有残留时，则形成各种残留结构和各种交代结构，以块状构造为主，钾长石强烈交代斜长石，导致斜长石在钾长石中呈不规则状、细脉状残留而形成交代残余的条纹长石，偶见黑云母等铁镁质矿物。地表及浅层具有岩石风化作用，形成残坡积浮土和风化花岗岩。</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地表及浅层具有岩石风化作用，形成残坡积浮土和风化花岗岩。垂向上从上至下依次可分为残坡积浮土层、全风化花岗岩、中风化花岗岩、未风化花岗岩。</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lang w:eastAsia="zh-CN"/>
        </w:rPr>
        <w:t>（</w:t>
      </w:r>
      <w:r>
        <w:rPr>
          <w:rFonts w:hint="default" w:ascii="Times New Roman" w:hAnsi="Times New Roman" w:eastAsia="宋体" w:cs="Times New Roman"/>
          <w:b/>
          <w:sz w:val="28"/>
          <w:szCs w:val="28"/>
          <w:lang w:val="en-US" w:eastAsia="zh-CN"/>
        </w:rPr>
        <w:t>四</w:t>
      </w:r>
      <w:r>
        <w:rPr>
          <w:rFonts w:hint="default" w:ascii="Times New Roman" w:hAnsi="Times New Roman" w:eastAsia="宋体" w:cs="Times New Roman"/>
          <w:b/>
          <w:sz w:val="28"/>
          <w:szCs w:val="28"/>
          <w:lang w:eastAsia="zh-CN"/>
        </w:rPr>
        <w:t>）</w:t>
      </w:r>
      <w:r>
        <w:rPr>
          <w:rFonts w:hint="default" w:ascii="Times New Roman" w:hAnsi="Times New Roman" w:eastAsia="宋体" w:cs="Times New Roman"/>
          <w:b/>
          <w:sz w:val="28"/>
          <w:szCs w:val="28"/>
        </w:rPr>
        <w:t>蚀变特征</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矿区内花岗岩蚀变主要集中在全风化和中风化层，普遍为自蚀变或次生蚀变，自蚀变形成了水云母和绢云母，次生蚀变使部分长石被绿泥石、绢云母所取代。蚀变主要有绿泥石化、高岭土化、绢云母化等。</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（四）水文地质</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1、矿区水文地质条件</w:t>
      </w:r>
    </w:p>
    <w:p>
      <w:pPr>
        <w:spacing w:line="360" w:lineRule="auto"/>
        <w:ind w:firstLine="560" w:firstLineChars="200"/>
        <w:rPr>
          <w:rFonts w:hint="default" w:ascii="Times New Roman" w:hAnsi="Times New Roman" w:eastAsia="宋体" w:cs="Times New Roman"/>
          <w:b w:val="0"/>
          <w:bCs/>
          <w:sz w:val="28"/>
          <w:szCs w:val="28"/>
        </w:rPr>
      </w:pPr>
      <w:r>
        <w:rPr>
          <w:rFonts w:hint="default" w:ascii="Times New Roman" w:hAnsi="Times New Roman" w:eastAsia="宋体" w:cs="Times New Roman"/>
          <w:b w:val="0"/>
          <w:bCs/>
          <w:sz w:val="28"/>
          <w:szCs w:val="28"/>
        </w:rPr>
        <w:t>（1）岩（矿）层的富水性</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区位于望湘岩体（基）西部，大片出露燕山晚期花岗岩，此外在丘坡和低洼沟谷处分布有第四系残坡积物。据地下水的赋存空间、水理性质和动力条件，区内地下水类型主要有赋存于花岗岩风化壳中的花岗岩风化裂隙水以及赋存于第四系残坡积层中的松散岩类孔隙水两种类型。</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第四系残坡积含水层：</w:t>
      </w:r>
      <w:r>
        <w:rPr>
          <w:rFonts w:hint="default" w:ascii="Times New Roman" w:hAnsi="Times New Roman" w:eastAsia="宋体" w:cs="Times New Roman"/>
          <w:sz w:val="28"/>
          <w:szCs w:val="28"/>
        </w:rPr>
        <w:t>矿区主要分布于山前、山坡、沟谷和低洼平地，一般厚***m，最厚处约***m，表层为腐殖土，其下为砂质粘土掺杂花岗岩风化砾石。属季节性含水层，主要为孔隙潜水，水量贫乏，对矿床水影响不大。含水层主要依靠大气降水补给，多迅速下渗补给下伏含水岩组，少部分以季节性泉出露，动态很不稳定，枯季无水。</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全风化花岗岩含水层：</w:t>
      </w:r>
      <w:r>
        <w:rPr>
          <w:rFonts w:hint="default" w:ascii="Times New Roman" w:hAnsi="Times New Roman" w:eastAsia="宋体" w:cs="Times New Roman"/>
          <w:sz w:val="28"/>
          <w:szCs w:val="28"/>
        </w:rPr>
        <w:t>区内广泛分布，本区风化厚度***m，平均***m，上部风化强烈，多呈砂状，下部多为碎块状，节理裂隙发育，含风化裂隙水，总体上富水性弱，水量贫乏，局部风化层厚度较大，在雨季富水性较好，水量中等。根据调查和钻探揭露，地下水水位埋深一般为7米。</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中风化～原生花岗岩隔水层：</w:t>
      </w:r>
      <w:r>
        <w:rPr>
          <w:rFonts w:hint="default" w:ascii="Times New Roman" w:hAnsi="Times New Roman" w:eastAsia="宋体" w:cs="Times New Roman"/>
          <w:sz w:val="28"/>
          <w:szCs w:val="28"/>
        </w:rPr>
        <w:t>中深部二云母二长花岗岩，岩石致密坚硬，节理裂隙少量发育，岩性完整性好，富水性微弱，为相对隔水层。</w:t>
      </w:r>
    </w:p>
    <w:p>
      <w:pPr>
        <w:spacing w:line="360" w:lineRule="auto"/>
        <w:ind w:firstLine="560" w:firstLineChars="200"/>
        <w:rPr>
          <w:rFonts w:hint="default" w:ascii="Times New Roman" w:hAnsi="Times New Roman" w:eastAsia="宋体" w:cs="Times New Roman"/>
          <w:b w:val="0"/>
          <w:bCs/>
          <w:sz w:val="28"/>
          <w:szCs w:val="28"/>
        </w:rPr>
      </w:pPr>
      <w:r>
        <w:rPr>
          <w:rFonts w:hint="default" w:ascii="Times New Roman" w:hAnsi="Times New Roman" w:eastAsia="宋体" w:cs="Times New Roman"/>
          <w:b w:val="0"/>
          <w:bCs/>
          <w:sz w:val="28"/>
          <w:szCs w:val="28"/>
        </w:rPr>
        <w:t>（2）地表水特征</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矿区范围内及周边地表水系较发育，矿区南侧700m、南西侧300m处各有一座小（Ⅱ）型水库名为</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上刘家洞水库</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下刘家洞水库</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，上刘家洞水库水域面积***</w:t>
      </w:r>
      <w:r>
        <w:rPr>
          <w:rFonts w:hint="default" w:ascii="Times New Roman" w:hAnsi="Times New Roman" w:eastAsia="宋体" w:cs="Times New Roman"/>
          <w:sz w:val="28"/>
          <w:szCs w:val="28"/>
          <w:lang w:val="en-US" w:eastAsia="zh-CN"/>
        </w:rPr>
        <w:t>km</w:t>
      </w:r>
      <w:r>
        <w:rPr>
          <w:rFonts w:hint="default" w:ascii="Times New Roman" w:hAnsi="Times New Roman" w:eastAsia="宋体" w:cs="Times New Roman"/>
          <w:sz w:val="28"/>
          <w:szCs w:val="28"/>
          <w:vertAlign w:val="superscript"/>
          <w:lang w:val="en-US" w:eastAsia="zh-CN"/>
        </w:rPr>
        <w:t>2</w:t>
      </w:r>
      <w:r>
        <w:rPr>
          <w:rFonts w:hint="default" w:ascii="Times New Roman" w:hAnsi="Times New Roman" w:eastAsia="宋体" w:cs="Times New Roman"/>
          <w:sz w:val="28"/>
          <w:szCs w:val="28"/>
        </w:rPr>
        <w:t>，总库容***万</w:t>
      </w:r>
      <w:r>
        <w:rPr>
          <w:rFonts w:hint="default" w:ascii="Times New Roman" w:hAnsi="Times New Roman" w:eastAsia="宋体" w:cs="Times New Roman"/>
          <w:sz w:val="28"/>
          <w:szCs w:val="28"/>
          <w:lang w:eastAsia="zh-CN"/>
        </w:rPr>
        <w:t>m³</w:t>
      </w:r>
      <w:r>
        <w:rPr>
          <w:rFonts w:hint="default" w:ascii="Times New Roman" w:hAnsi="Times New Roman" w:eastAsia="宋体" w:cs="Times New Roman"/>
          <w:sz w:val="28"/>
          <w:szCs w:val="28"/>
        </w:rPr>
        <w:t>，正常蓄水位***m；下刘家洞水库水域面积***</w:t>
      </w:r>
      <w:r>
        <w:rPr>
          <w:rFonts w:hint="default" w:ascii="Times New Roman" w:hAnsi="Times New Roman" w:eastAsia="宋体" w:cs="Times New Roman"/>
          <w:sz w:val="28"/>
          <w:szCs w:val="28"/>
          <w:lang w:val="en-US" w:eastAsia="zh-CN"/>
        </w:rPr>
        <w:t>km</w:t>
      </w:r>
      <w:r>
        <w:rPr>
          <w:rFonts w:hint="default" w:ascii="Times New Roman" w:hAnsi="Times New Roman" w:eastAsia="宋体" w:cs="Times New Roman"/>
          <w:sz w:val="28"/>
          <w:szCs w:val="28"/>
          <w:vertAlign w:val="superscript"/>
          <w:lang w:val="en-US" w:eastAsia="zh-CN"/>
        </w:rPr>
        <w:t>2</w:t>
      </w:r>
      <w:r>
        <w:rPr>
          <w:rFonts w:hint="default" w:ascii="Times New Roman" w:hAnsi="Times New Roman" w:eastAsia="宋体" w:cs="Times New Roman"/>
          <w:sz w:val="28"/>
          <w:szCs w:val="28"/>
        </w:rPr>
        <w:t>，总库容***万</w:t>
      </w:r>
      <w:r>
        <w:rPr>
          <w:rFonts w:hint="default" w:ascii="Times New Roman" w:hAnsi="Times New Roman" w:eastAsia="宋体" w:cs="Times New Roman"/>
          <w:sz w:val="28"/>
          <w:szCs w:val="28"/>
          <w:lang w:eastAsia="zh-CN"/>
        </w:rPr>
        <w:t>m³</w:t>
      </w:r>
      <w:r>
        <w:rPr>
          <w:rFonts w:hint="default" w:ascii="Times New Roman" w:hAnsi="Times New Roman" w:eastAsia="宋体" w:cs="Times New Roman"/>
          <w:sz w:val="28"/>
          <w:szCs w:val="28"/>
        </w:rPr>
        <w:t>，正常蓄水位***m，为当地农田的灌溉水源，非饮用水源保护区。梅树湾矿区勘查区周边有三十多个大大小小的水塘，水域面积约***</w:t>
      </w:r>
      <w:r>
        <w:rPr>
          <w:rFonts w:hint="default" w:ascii="Times New Roman" w:hAnsi="Times New Roman" w:eastAsia="宋体" w:cs="Times New Roman"/>
          <w:sz w:val="28"/>
          <w:szCs w:val="28"/>
          <w:lang w:val="en-US" w:eastAsia="zh-CN"/>
        </w:rPr>
        <w:t>km</w:t>
      </w:r>
      <w:r>
        <w:rPr>
          <w:rFonts w:hint="default" w:ascii="Times New Roman" w:hAnsi="Times New Roman" w:eastAsia="宋体" w:cs="Times New Roman"/>
          <w:sz w:val="28"/>
          <w:szCs w:val="28"/>
          <w:vertAlign w:val="superscript"/>
          <w:lang w:val="en-US" w:eastAsia="zh-CN"/>
        </w:rPr>
        <w:t>2</w:t>
      </w:r>
      <w:r>
        <w:rPr>
          <w:rFonts w:hint="default" w:ascii="Times New Roman" w:hAnsi="Times New Roman" w:eastAsia="宋体" w:cs="Times New Roman"/>
          <w:sz w:val="28"/>
          <w:szCs w:val="28"/>
        </w:rPr>
        <w:t>，水深***m，水量约***万</w:t>
      </w:r>
      <w:r>
        <w:rPr>
          <w:rFonts w:hint="default" w:ascii="Times New Roman" w:hAnsi="Times New Roman" w:eastAsia="宋体" w:cs="Times New Roman"/>
          <w:sz w:val="28"/>
          <w:szCs w:val="28"/>
          <w:lang w:eastAsia="zh-CN"/>
        </w:rPr>
        <w:t>m³</w:t>
      </w:r>
      <w:r>
        <w:rPr>
          <w:rFonts w:hint="default" w:ascii="Times New Roman" w:hAnsi="Times New Roman" w:eastAsia="宋体" w:cs="Times New Roman"/>
          <w:sz w:val="28"/>
          <w:szCs w:val="28"/>
        </w:rPr>
        <w:t>，旱季时，地表水位下降约***m，地表水受季节影响较大。无地表径流，仅雨季降雨短期形成地表径流，地表径流条件较好，降水可通过地形自然排放。</w:t>
      </w:r>
    </w:p>
    <w:p>
      <w:pPr>
        <w:spacing w:line="360" w:lineRule="auto"/>
        <w:ind w:firstLine="560" w:firstLineChars="200"/>
        <w:rPr>
          <w:rFonts w:hint="default" w:ascii="Times New Roman" w:hAnsi="Times New Roman" w:eastAsia="宋体" w:cs="Times New Roman"/>
          <w:b w:val="0"/>
          <w:bCs/>
          <w:sz w:val="28"/>
          <w:szCs w:val="28"/>
        </w:rPr>
      </w:pPr>
      <w:r>
        <w:rPr>
          <w:rFonts w:hint="default" w:ascii="Times New Roman" w:hAnsi="Times New Roman" w:eastAsia="宋体" w:cs="Times New Roman"/>
          <w:b w:val="0"/>
          <w:bCs/>
          <w:sz w:val="28"/>
          <w:szCs w:val="28"/>
        </w:rPr>
        <w:t>（3）地下水补给、径流、排泄特征</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区内地下水主要为大气降水补给，矿区花岗岩地表风化强烈，有利于大气降水下渗补给。受地形控制，地下水很快以潜流方式顺地势向低洼处径流，径流方向与地表水基本一致，除少量下渗外，多以下降泉的形式在山麓坡脚及低洼地带排泄于地表汇入两侧溪沟和水塘，径流途径短，循环交替速度较快，地下水水位、水量动态随季节变化明显。</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矿区为花岗岩丘陵地貌，属区域地下水的补给区。矿区主要位于地势相对较高的山丘，两侧溪沟发育，从地下水微循环角度其补、径、排难以分区，大气降水入渗补给地下水后，很快近源排泄，径流途径短。</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2、矿坑涌水量预测</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矿区范围内地表水体不发育</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无天然径流所成的河流，矿区外水库水面高于矿区最低开采标高，距矿区较远，矿区最低开采标高位于最低侵蚀基准面以上。矿区位于地下水补给区，地下水主要为花岗岩风化裂隙水，富水性总体较弱，水量贫乏，下部中风化花岩～花岗岩岩石致密坚硬，为相对隔水层。未来矿坑涌水以大气降水为主，大气降水及地下水自分水岭顺地形坡度从不同方向通过局部裂隙流入或渗入补给、沿裂隙向深部垂直径流，渗入下部地下水自由水面，作水平运动，向低洼地带排泄。</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依据采场充水因素，采用Q=（F</w:t>
      </w:r>
      <w:r>
        <w:rPr>
          <w:rFonts w:hint="default" w:ascii="Times New Roman" w:hAnsi="Times New Roman" w:eastAsia="宋体" w:cs="Times New Roman"/>
          <w:sz w:val="28"/>
          <w:szCs w:val="28"/>
          <w:vertAlign w:val="subscript"/>
        </w:rPr>
        <w:t>1</w:t>
      </w:r>
      <w:r>
        <w:rPr>
          <w:rFonts w:hint="default" w:ascii="Times New Roman" w:hAnsi="Times New Roman" w:eastAsia="宋体" w:cs="Times New Roman"/>
          <w:sz w:val="28"/>
          <w:szCs w:val="28"/>
        </w:rPr>
        <w:t>×A+F</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×A×Ψ）/t公式进行计算。</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式中：Q：矿区最终汇水量（</w:t>
      </w:r>
      <w:r>
        <w:rPr>
          <w:rFonts w:hint="default" w:ascii="Times New Roman" w:hAnsi="Times New Roman" w:eastAsia="宋体" w:cs="Times New Roman"/>
          <w:sz w:val="28"/>
          <w:szCs w:val="28"/>
          <w:lang w:eastAsia="zh-CN"/>
        </w:rPr>
        <w:t>m³</w:t>
      </w:r>
      <w:r>
        <w:rPr>
          <w:rFonts w:hint="default" w:ascii="Times New Roman" w:hAnsi="Times New Roman" w:eastAsia="宋体" w:cs="Times New Roman"/>
          <w:sz w:val="28"/>
          <w:szCs w:val="28"/>
        </w:rPr>
        <w:t>/h）；</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F</w:t>
      </w:r>
      <w:r>
        <w:rPr>
          <w:rFonts w:hint="default" w:ascii="Times New Roman" w:hAnsi="Times New Roman" w:eastAsia="宋体" w:cs="Times New Roman"/>
          <w:sz w:val="28"/>
          <w:szCs w:val="28"/>
          <w:vertAlign w:val="subscript"/>
        </w:rPr>
        <w:t>1</w:t>
      </w:r>
      <w:r>
        <w:rPr>
          <w:rFonts w:hint="default" w:ascii="Times New Roman" w:hAnsi="Times New Roman" w:eastAsia="宋体" w:cs="Times New Roman"/>
          <w:sz w:val="28"/>
          <w:szCs w:val="28"/>
        </w:rPr>
        <w:t>：矿区面积（</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F</w:t>
      </w:r>
      <w:r>
        <w:rPr>
          <w:rFonts w:hint="default" w:ascii="Times New Roman" w:hAnsi="Times New Roman" w:eastAsia="宋体" w:cs="Times New Roman"/>
          <w:sz w:val="28"/>
          <w:szCs w:val="28"/>
          <w:vertAlign w:val="subscript"/>
        </w:rPr>
        <w:t>2</w:t>
      </w:r>
      <w:r>
        <w:rPr>
          <w:rFonts w:hint="default" w:ascii="Times New Roman" w:hAnsi="Times New Roman" w:eastAsia="宋体" w:cs="Times New Roman"/>
          <w:sz w:val="28"/>
          <w:szCs w:val="28"/>
        </w:rPr>
        <w:t>：矿区外汇水面积（</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A：年/日降雨量（m）；</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t：小时（h）；</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Ψ：矿区外汇水区域的地表径流系数。</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根据地形地貌情况，矿区终采时最大汇水面积约***</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，其中F1=***</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、F2=***</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A是降雨量，采用多年平均降雨量和日最大降雨量分别计算采场平均充水量和最大充水量。据汨罗市气象局多年气象资料统计，年均降雨量***mm，日最大降水***mm。地表径流系数根据当地条件取0.8。（各参数见表2-8）</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预测采场日平均充水量为：</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Q平均=F×A平均/t=***=***m</w:t>
      </w:r>
      <w:r>
        <w:rPr>
          <w:rFonts w:hint="default" w:ascii="Times New Roman" w:hAnsi="Times New Roman" w:eastAsia="宋体" w:cs="Times New Roman"/>
          <w:sz w:val="28"/>
          <w:szCs w:val="28"/>
          <w:vertAlign w:val="superscript"/>
        </w:rPr>
        <w:t>3</w:t>
      </w:r>
      <w:r>
        <w:rPr>
          <w:rFonts w:hint="default" w:ascii="Times New Roman" w:hAnsi="Times New Roman" w:eastAsia="宋体" w:cs="Times New Roman"/>
          <w:sz w:val="28"/>
          <w:szCs w:val="28"/>
        </w:rPr>
        <w:t>/d</w:t>
      </w:r>
    </w:p>
    <w:p>
      <w:pPr>
        <w:spacing w:line="360" w:lineRule="auto"/>
        <w:ind w:firstLine="560" w:firstLineChars="200"/>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预测采场最大充水量为：Q最大=F×A最大/t=***m</w:t>
      </w:r>
      <w:r>
        <w:rPr>
          <w:rFonts w:hint="default" w:ascii="Times New Roman" w:hAnsi="Times New Roman" w:eastAsia="宋体" w:cs="Times New Roman"/>
          <w:sz w:val="28"/>
          <w:szCs w:val="28"/>
          <w:vertAlign w:val="superscript"/>
        </w:rPr>
        <w:t>3</w:t>
      </w:r>
      <w:r>
        <w:rPr>
          <w:rFonts w:hint="default" w:ascii="Times New Roman" w:hAnsi="Times New Roman" w:eastAsia="宋体" w:cs="Times New Roman"/>
          <w:sz w:val="28"/>
          <w:szCs w:val="28"/>
        </w:rPr>
        <w:t>/d</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根据“露天采矿矿山地质环境条件复杂程度分级表”，属露天开采充水量小的矿山。</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（五）工程地质</w:t>
      </w:r>
    </w:p>
    <w:p>
      <w:pPr>
        <w:spacing w:line="360" w:lineRule="auto"/>
        <w:ind w:firstLine="562" w:firstLineChars="200"/>
        <w:rPr>
          <w:rFonts w:hint="default" w:ascii="Times New Roman" w:hAnsi="Times New Roman" w:eastAsia="宋体" w:cs="Times New Roman"/>
          <w:color w:val="FF0000"/>
          <w:sz w:val="28"/>
          <w:szCs w:val="28"/>
          <w:highlight w:val="yellow"/>
        </w:rPr>
      </w:pPr>
      <w:r>
        <w:rPr>
          <w:rFonts w:hint="default" w:ascii="Times New Roman" w:hAnsi="Times New Roman" w:eastAsia="宋体" w:cs="Times New Roman"/>
          <w:b/>
          <w:sz w:val="28"/>
          <w:szCs w:val="28"/>
        </w:rPr>
        <w:t>1、岩组特征</w:t>
      </w:r>
    </w:p>
    <w:p>
      <w:pPr>
        <w:spacing w:line="360" w:lineRule="auto"/>
        <w:ind w:firstLine="560" w:firstLineChars="200"/>
        <w:rPr>
          <w:rFonts w:hint="default" w:ascii="Times New Roman" w:hAnsi="Times New Roman" w:eastAsia="宋体" w:cs="Times New Roman"/>
          <w:color w:val="000000" w:themeColor="text1"/>
          <w:sz w:val="28"/>
          <w:szCs w:val="28"/>
          <w:highlight w:val="yellow"/>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矿区大片出露燕山晚期花岗岩，地表风化强烈，此外在丘坡和低洼沟谷处分布有第四系残坡积物。根据其工程地质特征，可分为</w:t>
      </w:r>
      <w:r>
        <w:rPr>
          <w:rFonts w:hint="default" w:ascii="Times New Roman" w:hAnsi="Times New Roman" w:eastAsia="宋体" w:cs="Times New Roman"/>
          <w:b/>
          <w:color w:val="000000" w:themeColor="text1"/>
          <w:sz w:val="28"/>
          <w:szCs w:val="28"/>
          <w14:textFill>
            <w14:solidFill>
              <w14:schemeClr w14:val="tx1"/>
            </w14:solidFill>
          </w14:textFill>
        </w:rPr>
        <w:t>岩体</w:t>
      </w:r>
      <w:r>
        <w:rPr>
          <w:rFonts w:hint="default" w:ascii="Times New Roman" w:hAnsi="Times New Roman" w:eastAsia="宋体" w:cs="Times New Roman"/>
          <w:color w:val="000000" w:themeColor="text1"/>
          <w:sz w:val="28"/>
          <w:szCs w:val="28"/>
          <w14:textFill>
            <w14:solidFill>
              <w14:schemeClr w14:val="tx1"/>
            </w14:solidFill>
          </w14:textFill>
        </w:rPr>
        <w:t>和</w:t>
      </w:r>
      <w:r>
        <w:rPr>
          <w:rFonts w:hint="default" w:ascii="Times New Roman" w:hAnsi="Times New Roman" w:eastAsia="宋体" w:cs="Times New Roman"/>
          <w:b/>
          <w:color w:val="000000" w:themeColor="text1"/>
          <w:sz w:val="28"/>
          <w:szCs w:val="28"/>
          <w14:textFill>
            <w14:solidFill>
              <w14:schemeClr w14:val="tx1"/>
            </w14:solidFill>
          </w14:textFill>
        </w:rPr>
        <w:t>土体</w:t>
      </w:r>
      <w:r>
        <w:rPr>
          <w:rFonts w:hint="default" w:ascii="Times New Roman" w:hAnsi="Times New Roman" w:eastAsia="宋体" w:cs="Times New Roman"/>
          <w:color w:val="000000" w:themeColor="text1"/>
          <w:sz w:val="28"/>
          <w:szCs w:val="28"/>
          <w14:textFill>
            <w14:solidFill>
              <w14:schemeClr w14:val="tx1"/>
            </w14:solidFill>
          </w14:textFill>
        </w:rPr>
        <w:t>两大工程地质体类型。</w:t>
      </w:r>
    </w:p>
    <w:p>
      <w:pPr>
        <w:spacing w:line="360" w:lineRule="auto"/>
        <w:ind w:firstLine="560" w:firstLineChars="200"/>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（1）土体</w:t>
      </w:r>
    </w:p>
    <w:p>
      <w:pPr>
        <w:spacing w:line="360" w:lineRule="auto"/>
        <w:ind w:firstLine="560" w:firstLineChars="200"/>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矿区土体类型主要为单层结构松散花岗岩残坡积土。区内冲沟、丘坡地带多分布花岗岩残积层，厚度***m不等，分布不均匀，岩性主要为砂质粘土、砂土等，矿物风化强烈，砂土多呈松散状。根据区域工程地质勘察资料，其承载力特征值一般***kPa～***kPa，内摩擦角***°～***°，内聚力***kPa～***kPa。土体较松散，稳定性相对较差，容易坍塌和产生滑坡，露天开采时需缓坡或支护。</w:t>
      </w:r>
    </w:p>
    <w:p>
      <w:pPr>
        <w:spacing w:line="360" w:lineRule="auto"/>
        <w:ind w:firstLine="560" w:firstLineChars="200"/>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（2）岩体</w:t>
      </w:r>
    </w:p>
    <w:p>
      <w:pPr>
        <w:spacing w:line="360" w:lineRule="auto"/>
        <w:ind w:firstLine="560" w:firstLineChars="200"/>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全风化松散花岗岩体：矿区浅部花岗岩风化强烈，呈灰黄色、白色砂状，依稀可见原岩结构，较密实，干钻难钻进，厚***m。根据区域勘察资料，其承载力特征值一般***kPa～***kPa，其抗冲刷能力和边坡稳定性均较差，容易坍塌和产生滑坡，露天开采时需缓坡或支护。</w:t>
      </w:r>
    </w:p>
    <w:p>
      <w:pPr>
        <w:spacing w:line="360" w:lineRule="auto"/>
        <w:ind w:firstLine="560" w:firstLineChars="200"/>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坚硬块状花岗岩体：岩性中细粒黑云母二长花岗岩，属硬质岩类，岩性致密坚硬，工程地质性质好。其中风化层节理裂隙稍发育，多呈大块状，抗压强度（水饱和）***MPa～***MPa；原生花岗岩完整性好，强度高，抗压强度（水饱和）***MPa～***MPa。</w:t>
      </w:r>
    </w:p>
    <w:p>
      <w:pPr>
        <w:spacing w:line="360" w:lineRule="auto"/>
        <w:ind w:firstLine="562" w:firstLineChars="200"/>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
          <w:sz w:val="28"/>
          <w:szCs w:val="28"/>
        </w:rPr>
        <w:t>2、结构面特征</w:t>
      </w:r>
    </w:p>
    <w:p>
      <w:pPr>
        <w:spacing w:line="360" w:lineRule="auto"/>
        <w:ind w:firstLine="560" w:firstLineChars="200"/>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区内为燕山晚期侵入花岗岩，原生花岗岩岩石致密坚硬，岩体总体完整，节理裂隙较发育，后期开采稳定性好。</w:t>
      </w:r>
    </w:p>
    <w:p>
      <w:pPr>
        <w:spacing w:line="360" w:lineRule="auto"/>
        <w:ind w:firstLine="560" w:firstLineChars="200"/>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受风化作用的影响，上部全风化花岗岩风化成砂状，较松散、下部中风化花岗岩节理裂隙发育，其结构面使岩石的完整性及稳定性受到破坏，岩石力学性质受到一定的影响。</w:t>
      </w:r>
    </w:p>
    <w:p>
      <w:pPr>
        <w:spacing w:line="360" w:lineRule="auto"/>
        <w:ind w:firstLine="562" w:firstLineChars="200"/>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
          <w:sz w:val="28"/>
          <w:szCs w:val="28"/>
        </w:rPr>
        <w:t>3、边坡稳定性评价</w:t>
      </w:r>
    </w:p>
    <w:p>
      <w:pPr>
        <w:spacing w:line="360" w:lineRule="auto"/>
        <w:ind w:firstLine="560" w:firstLineChars="200"/>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（1）岩、土体评价</w:t>
      </w:r>
    </w:p>
    <w:p>
      <w:pPr>
        <w:spacing w:line="360" w:lineRule="auto"/>
        <w:ind w:firstLine="560" w:firstLineChars="200"/>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矿区岩体岩性为微风化花岗岩和未风化花岗岩，岩石较完整，稳定性好，不用支护；土体为第四系残坡积层、全风化花岗岩、强风化花岗岩和中风化花岗岩，厚***m～***m，露天开采时注意边坡角度。整体上矿区岩、土体工程地质较好。</w:t>
      </w:r>
    </w:p>
    <w:p>
      <w:pPr>
        <w:spacing w:line="360" w:lineRule="auto"/>
        <w:ind w:firstLine="560" w:firstLineChars="200"/>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（2）边坡稳定性评价</w:t>
      </w:r>
    </w:p>
    <w:p>
      <w:pPr>
        <w:spacing w:line="360" w:lineRule="auto"/>
        <w:ind w:firstLine="560" w:firstLineChars="200"/>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未来矿山边坡主要为坚硬岩质边坡，仅局部存在少量较软岩质边坡。根据矿体分布标高等关系，矿区最终将形成南、东南边坡高约***m～***m，其余边坡均低于50m。本矿区为花岗岩，因矿体为花岗岩，因此无需考虑边坡走向与岩层走向的问题，平均风化层厚度为***m，按《矿产地质勘查规范建筑用石料类》（DZ/T0341-2020）要求风化层均按***°边坡角设置边坡，风化层以下边坡岩性为燕山晚期二云母二长花岗岩基岩，力学性能良好，岩石完整性好，属稳定型边坡。</w:t>
      </w:r>
    </w:p>
    <w:p>
      <w:pPr>
        <w:spacing w:line="360" w:lineRule="auto"/>
        <w:ind w:firstLine="560" w:firstLineChars="200"/>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总之，矿区土体较松散，边坡稳定性差，下部岩体较完整，边坡稳定性好，总体边坡稳定性中等。</w:t>
      </w:r>
    </w:p>
    <w:p>
      <w:pPr>
        <w:spacing w:line="360" w:lineRule="auto"/>
        <w:ind w:firstLine="562" w:firstLineChars="200"/>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4、工程地质勘查类型</w:t>
      </w:r>
    </w:p>
    <w:p>
      <w:pPr>
        <w:spacing w:line="360" w:lineRule="auto"/>
        <w:ind w:firstLine="560" w:firstLineChars="200"/>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矿区属丘陵地貌，地形特征为南西部高北东部低，最高点位于矿区南西部，海拔标高***m，最低点位于矿区西北部，海拔标高***m，相对高差***m，地形切割中等，坡度一般为***°。</w:t>
      </w:r>
    </w:p>
    <w:p>
      <w:pPr>
        <w:spacing w:line="360" w:lineRule="auto"/>
        <w:ind w:firstLine="560" w:firstLineChars="200"/>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矿区大部为原生花岗岩，岩体致密坚硬，为稳固岩层和稳固性较好岩石。但其上部残坡积砂土及全风化</w:t>
      </w:r>
      <w:r>
        <w:rPr>
          <w:rFonts w:hint="default" w:ascii="Times New Roman" w:hAnsi="Times New Roman" w:eastAsia="宋体" w:cs="Times New Roman"/>
          <w:color w:val="000000" w:themeColor="text1"/>
          <w:sz w:val="28"/>
          <w:szCs w:val="28"/>
          <w:lang w:eastAsia="zh-CN"/>
          <w14:textFill>
            <w14:solidFill>
              <w14:schemeClr w14:val="tx1"/>
            </w14:solidFill>
          </w14:textFill>
        </w:rPr>
        <w:t>－</w:t>
      </w:r>
      <w:r>
        <w:rPr>
          <w:rFonts w:hint="default" w:ascii="Times New Roman" w:hAnsi="Times New Roman" w:eastAsia="宋体" w:cs="Times New Roman"/>
          <w:color w:val="000000" w:themeColor="text1"/>
          <w:sz w:val="28"/>
          <w:szCs w:val="28"/>
          <w14:textFill>
            <w14:solidFill>
              <w14:schemeClr w14:val="tx1"/>
            </w14:solidFill>
          </w14:textFill>
        </w:rPr>
        <w:t>中风化花岗岩稳定性较差。在长时间降雨时会造成边坡失稳、小规模崩塌和滑坡的可能性较大。矿山开采中只要严格按照设计台阶和边坡角开采，开采过程中上部设置</w:t>
      </w:r>
      <w:r>
        <w:rPr>
          <w:rFonts w:hint="default" w:ascii="Times New Roman" w:hAnsi="Times New Roman" w:eastAsia="宋体" w:cs="Times New Roman"/>
          <w:color w:val="000000" w:themeColor="text1"/>
          <w:sz w:val="28"/>
          <w:szCs w:val="28"/>
          <w:lang w:eastAsia="zh-CN"/>
          <w14:textFill>
            <w14:solidFill>
              <w14:schemeClr w14:val="tx1"/>
            </w14:solidFill>
          </w14:textFill>
        </w:rPr>
        <w:t>截水沟</w:t>
      </w:r>
      <w:r>
        <w:rPr>
          <w:rFonts w:hint="default" w:ascii="Times New Roman" w:hAnsi="Times New Roman" w:eastAsia="宋体" w:cs="Times New Roman"/>
          <w:color w:val="000000" w:themeColor="text1"/>
          <w:sz w:val="28"/>
          <w:szCs w:val="28"/>
          <w14:textFill>
            <w14:solidFill>
              <w14:schemeClr w14:val="tx1"/>
            </w14:solidFill>
          </w14:textFill>
        </w:rPr>
        <w:t>，顶部松散层根据需要进行支护，并加强边坡安全检查即可防止崩塌、滑坡、泥石流的发生。</w:t>
      </w:r>
    </w:p>
    <w:p>
      <w:pPr>
        <w:spacing w:line="360" w:lineRule="auto"/>
        <w:ind w:firstLine="562" w:firstLineChars="200"/>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综上所述，矿床工程地质条件属中等类型。</w:t>
      </w:r>
    </w:p>
    <w:p>
      <w:pPr>
        <w:spacing w:line="360" w:lineRule="auto"/>
        <w:rPr>
          <w:rFonts w:hint="default" w:ascii="Times New Roman" w:hAnsi="Times New Roman" w:eastAsia="宋体" w:cs="Times New Roman"/>
          <w:b/>
          <w:color w:val="000000" w:themeColor="text1"/>
          <w:sz w:val="28"/>
          <w:szCs w:val="28"/>
          <w:lang w:eastAsia="zh-CN"/>
          <w14:textFill>
            <w14:solidFill>
              <w14:schemeClr w14:val="tx1"/>
            </w14:solidFill>
          </w14:textFill>
        </w:rPr>
      </w:pPr>
    </w:p>
    <w:p>
      <w:pPr>
        <w:spacing w:line="360" w:lineRule="auto"/>
        <w:ind w:firstLine="482" w:firstLineChars="200"/>
        <w:jc w:val="center"/>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图2-2 矿山地质综合柱状图</w:t>
      </w:r>
    </w:p>
    <w:p>
      <w:pPr>
        <w:pStyle w:val="3"/>
        <w:rPr>
          <w:rFonts w:hint="default" w:ascii="Times New Roman" w:hAnsi="Times New Roman" w:eastAsia="宋体" w:cs="Times New Roman"/>
        </w:rPr>
      </w:pPr>
      <w:bookmarkStart w:id="8" w:name="_Toc155772662"/>
      <w:r>
        <w:rPr>
          <w:rFonts w:hint="default" w:ascii="Times New Roman" w:hAnsi="Times New Roman" w:eastAsia="宋体" w:cs="Times New Roman"/>
        </w:rPr>
        <w:t>三、生物环境</w:t>
      </w:r>
      <w:bookmarkEnd w:id="8"/>
    </w:p>
    <w:p>
      <w:pPr>
        <w:spacing w:line="360" w:lineRule="auto"/>
        <w:ind w:firstLine="562" w:firstLineChars="200"/>
        <w:rPr>
          <w:rFonts w:hint="default" w:ascii="Times New Roman" w:hAnsi="Times New Roman" w:eastAsia="宋体" w:cs="Times New Roman"/>
          <w:b/>
          <w:sz w:val="28"/>
          <w:szCs w:val="28"/>
          <w:lang w:eastAsia="zh-CN"/>
        </w:rPr>
      </w:pPr>
      <w:r>
        <w:rPr>
          <w:rFonts w:hint="default" w:ascii="Times New Roman" w:hAnsi="Times New Roman" w:eastAsia="宋体" w:cs="Times New Roman"/>
          <w:b/>
          <w:bCs/>
          <w:sz w:val="28"/>
          <w:szCs w:val="28"/>
        </w:rPr>
        <w:t>（一）</w:t>
      </w:r>
      <w:r>
        <w:rPr>
          <w:rFonts w:hint="default" w:ascii="Times New Roman" w:hAnsi="Times New Roman" w:eastAsia="宋体" w:cs="Times New Roman"/>
          <w:b/>
          <w:sz w:val="28"/>
          <w:szCs w:val="28"/>
          <w:lang w:val="en-US" w:eastAsia="zh-CN"/>
        </w:rPr>
        <w:t>土壤</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汨罗市土壤的成土母质有第四纪松散堆积物、花岗岩母质、板页岩母质及云母片岩母质、红岩母质4种，不同母质形成不同类型的土壤。土壤类型有水稻土45.60万亩，红（黄）壤94.57万亩，紫色土11.57万亩，潮土2.54万亩。土壤分布为南部红（黄）壤水稻土区、中北部红壤水稻土区、汨罗江流域潮土及水稻土区、东北部紫色土、红壤水稻土区。</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矿区范围内主要为林地，土壤为砂质粘土、砂土，厚度0～3.2m 不等，PH＝6.5，有机质含量10～18g/kg，肥力较一般。</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bCs/>
          <w:sz w:val="28"/>
          <w:szCs w:val="28"/>
        </w:rPr>
        <w:t>（</w:t>
      </w:r>
      <w:r>
        <w:rPr>
          <w:rFonts w:hint="default" w:ascii="Times New Roman" w:hAnsi="Times New Roman" w:eastAsia="宋体" w:cs="Times New Roman"/>
          <w:b/>
          <w:bCs/>
          <w:sz w:val="28"/>
          <w:szCs w:val="28"/>
          <w:lang w:val="en-US" w:eastAsia="zh-CN"/>
        </w:rPr>
        <w:t>二</w:t>
      </w:r>
      <w:r>
        <w:rPr>
          <w:rFonts w:hint="default" w:ascii="Times New Roman" w:hAnsi="Times New Roman" w:eastAsia="宋体" w:cs="Times New Roman"/>
          <w:b/>
          <w:bCs/>
          <w:sz w:val="28"/>
          <w:szCs w:val="28"/>
        </w:rPr>
        <w:t>）</w:t>
      </w:r>
      <w:r>
        <w:rPr>
          <w:rFonts w:hint="default" w:ascii="Times New Roman" w:hAnsi="Times New Roman" w:eastAsia="宋体" w:cs="Times New Roman"/>
          <w:b/>
          <w:sz w:val="28"/>
          <w:szCs w:val="28"/>
        </w:rPr>
        <w:t>植被环境</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汨罗市属亚热带常绿阔叶林区，植物资源十分丰富。境内共有蕨类植物15科，25种；裸子植物7科，13种；被子植物94科，383种。其中有培植的48科，253种，有实用推广价值的达180余种。属国家保护的有水杉、银杏、杜仲等，主要用材树种有松、杉、樟、檫、楠竹等。汨罗物华天宝，资源富集，生态资源丰富，亚热带季风气候带来分明的四季、充沛的雨量；森林覆盖率达40％，积蓄林木218.3万立方米。砂金、高岭土、花岗岩等20多种矿产星罗棋布于全市，其中汨罗江砂金砂储量居长江以南各县（市）之首。</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矿区范围为丘陵地貌，周边为大面积林地，植被类型主要为常绿阔叶林，山坡地段为杉木、灌木林混生林地。</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bCs/>
          <w:sz w:val="28"/>
          <w:szCs w:val="28"/>
        </w:rPr>
        <w:t>（</w:t>
      </w:r>
      <w:r>
        <w:rPr>
          <w:rFonts w:hint="default" w:ascii="Times New Roman" w:hAnsi="Times New Roman" w:eastAsia="宋体" w:cs="Times New Roman"/>
          <w:b/>
          <w:bCs/>
          <w:sz w:val="28"/>
          <w:szCs w:val="28"/>
          <w:lang w:val="en-US" w:eastAsia="zh-CN"/>
        </w:rPr>
        <w:t>三</w:t>
      </w:r>
      <w:r>
        <w:rPr>
          <w:rFonts w:hint="default" w:ascii="Times New Roman" w:hAnsi="Times New Roman" w:eastAsia="宋体" w:cs="Times New Roman"/>
          <w:b/>
          <w:bCs/>
          <w:sz w:val="28"/>
          <w:szCs w:val="28"/>
        </w:rPr>
        <w:t>）</w:t>
      </w:r>
      <w:r>
        <w:rPr>
          <w:rFonts w:hint="default" w:ascii="Times New Roman" w:hAnsi="Times New Roman" w:eastAsia="宋体" w:cs="Times New Roman"/>
          <w:b/>
          <w:sz w:val="28"/>
          <w:szCs w:val="28"/>
        </w:rPr>
        <w:t>动物环境</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汨罗市已查明的野生动物有昆虫65科，168种；鱼类20科，90种；鸟类28科，50种；哺乳类16科，29种。还有大量的两栖类、爬行类动物。属国家保护动物的有鲮鲤（穿山甲）、金钱豹、大鲵（娃娃鱼）、猴面鹰、江豚（江猪）、大灵猫等。主要经济鱼类有草、青、鲢、鳙、鲤等；主要爬行动物有鳖、乌龟、蟹等；主要家畜有牛、猪、羊等；主要家禽有鸡、鸭、鹅等。</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矿区范围内常见的野生动物有蛇、蛙类、野鸡等，周边居民点家养动物为鸡、鸭、狗、猪等。区域内未见珍稀野生动物。生态保护修复区域也无大型渔业、水产养殖业，无自然保护区和名胜古迹。</w:t>
      </w:r>
    </w:p>
    <w:p>
      <w:pPr>
        <w:pStyle w:val="3"/>
        <w:rPr>
          <w:rFonts w:hint="default" w:ascii="Times New Roman" w:hAnsi="Times New Roman" w:eastAsia="宋体" w:cs="Times New Roman"/>
        </w:rPr>
      </w:pPr>
      <w:bookmarkStart w:id="9" w:name="_Toc155772663"/>
      <w:r>
        <w:rPr>
          <w:rFonts w:hint="default" w:ascii="Times New Roman" w:hAnsi="Times New Roman" w:eastAsia="宋体" w:cs="Times New Roman"/>
        </w:rPr>
        <w:t>四、人居环境</w:t>
      </w:r>
      <w:bookmarkEnd w:id="9"/>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（一）矿区及周边自然资源权属情况</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根据调查，矿区附近无其他采权。矿区及周边自然资源权属为新开村春生屋、庙家屋、黄家屋场、春山屋等。</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（二）矿区土地资源现状</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矿区及周边土地利用类型主要为林地，少量</w:t>
      </w:r>
      <w:r>
        <w:rPr>
          <w:rFonts w:hint="default" w:ascii="Times New Roman" w:hAnsi="Times New Roman" w:eastAsia="宋体" w:cs="Times New Roman"/>
          <w:sz w:val="28"/>
          <w:szCs w:val="28"/>
          <w:lang w:val="en-US" w:eastAsia="zh-CN"/>
        </w:rPr>
        <w:t>耕地及</w:t>
      </w:r>
      <w:r>
        <w:rPr>
          <w:rFonts w:hint="default" w:ascii="Times New Roman" w:hAnsi="Times New Roman" w:eastAsia="宋体" w:cs="Times New Roman"/>
          <w:sz w:val="28"/>
          <w:szCs w:val="28"/>
        </w:rPr>
        <w:t>坑塘水面、其他草地和农村宅基地。林地分布于矿区的西北侧和东南侧，为乔木林地和其他林地。耕地主要</w:t>
      </w:r>
      <w:r>
        <w:rPr>
          <w:rFonts w:hint="default" w:ascii="Times New Roman" w:hAnsi="Times New Roman" w:eastAsia="宋体" w:cs="Times New Roman"/>
          <w:sz w:val="28"/>
          <w:szCs w:val="28"/>
          <w:lang w:eastAsia="zh-CN"/>
        </w:rPr>
        <w:t>分布</w:t>
      </w:r>
      <w:r>
        <w:rPr>
          <w:rFonts w:hint="default" w:ascii="Times New Roman" w:hAnsi="Times New Roman" w:eastAsia="宋体" w:cs="Times New Roman"/>
          <w:sz w:val="28"/>
          <w:szCs w:val="28"/>
        </w:rPr>
        <w:t>于矿区的北侧和西侧。</w:t>
      </w:r>
    </w:p>
    <w:p>
      <w:pPr>
        <w:rPr>
          <w:rFonts w:hint="default" w:ascii="Times New Roman" w:hAnsi="Times New Roman" w:eastAsia="宋体" w:cs="Times New Roman"/>
          <w:b/>
          <w:sz w:val="24"/>
          <w:szCs w:val="24"/>
        </w:rPr>
      </w:pPr>
      <w:bookmarkStart w:id="10" w:name="_Hlk153390757"/>
      <w:r>
        <w:rPr>
          <w:rFonts w:hint="default" w:ascii="Times New Roman" w:hAnsi="Times New Roman" w:eastAsia="宋体" w:cs="Times New Roman"/>
          <w:b/>
          <w:sz w:val="24"/>
          <w:szCs w:val="24"/>
        </w:rPr>
        <w:br w:type="page"/>
      </w:r>
    </w:p>
    <w:p>
      <w:pPr>
        <w:spacing w:line="360" w:lineRule="auto"/>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表2-1 用地情况表</w:t>
      </w:r>
    </w:p>
    <w:p>
      <w:pPr>
        <w:spacing w:line="360" w:lineRule="auto"/>
        <w:ind w:firstLine="482" w:firstLineChars="200"/>
        <w:jc w:val="right"/>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单位：公顷</w:t>
      </w:r>
    </w:p>
    <w:bookmarkEnd w:id="10"/>
    <w:tbl>
      <w:tblPr>
        <w:tblStyle w:val="12"/>
        <w:tblW w:w="8640" w:type="dxa"/>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66"/>
        <w:gridCol w:w="1523"/>
        <w:gridCol w:w="1080"/>
        <w:gridCol w:w="1080"/>
        <w:gridCol w:w="1080"/>
        <w:gridCol w:w="1080"/>
        <w:gridCol w:w="1080"/>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0" w:type="dxa"/>
            <w:gridSpan w:val="3"/>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地类</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合计</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lang w:val="en-US" w:eastAsia="zh-CN"/>
              </w:rPr>
              <w:t>露采场</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工业</w:t>
            </w:r>
          </w:p>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广场</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排土场</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lang w:val="en-US" w:eastAsia="zh-CN"/>
              </w:rPr>
            </w:pPr>
            <w:r>
              <w:rPr>
                <w:rFonts w:hint="default" w:ascii="Times New Roman" w:hAnsi="Times New Roman" w:eastAsia="宋体" w:cs="Times New Roman"/>
                <w:b/>
                <w:bCs/>
                <w:color w:val="000000"/>
                <w:kern w:val="0"/>
                <w:sz w:val="24"/>
                <w:szCs w:val="24"/>
                <w:lang w:val="en-US" w:eastAsia="zh-CN"/>
              </w:rPr>
              <w:t>矿山</w:t>
            </w:r>
          </w:p>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道路</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restart"/>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农用地</w:t>
            </w:r>
          </w:p>
        </w:tc>
        <w:tc>
          <w:tcPr>
            <w:tcW w:w="866" w:type="dxa"/>
            <w:vMerge w:val="restart"/>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耕地</w:t>
            </w:r>
          </w:p>
        </w:tc>
        <w:tc>
          <w:tcPr>
            <w:tcW w:w="1523"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水田</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66"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23"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旱地</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66"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23"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小计</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66"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园地</w:t>
            </w:r>
          </w:p>
        </w:tc>
        <w:tc>
          <w:tcPr>
            <w:tcW w:w="1523"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园地</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66" w:type="dxa"/>
            <w:vMerge w:val="restart"/>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林地</w:t>
            </w:r>
          </w:p>
        </w:tc>
        <w:tc>
          <w:tcPr>
            <w:tcW w:w="1523"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其他林地</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66"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23"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乔木林地</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66"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23"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竹林地</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66"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23"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小计</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66" w:type="dxa"/>
            <w:vMerge w:val="restart"/>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其他农用地</w:t>
            </w:r>
          </w:p>
        </w:tc>
        <w:tc>
          <w:tcPr>
            <w:tcW w:w="1523"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沟渠</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66"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23"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坑塘水面</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66"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23"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农村道路</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66"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23"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小计</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2389" w:type="dxa"/>
            <w:gridSpan w:val="2"/>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合计</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restart"/>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建设用地</w:t>
            </w:r>
          </w:p>
        </w:tc>
        <w:tc>
          <w:tcPr>
            <w:tcW w:w="866" w:type="dxa"/>
            <w:vMerge w:val="restart"/>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城乡建设用地</w:t>
            </w:r>
          </w:p>
        </w:tc>
        <w:tc>
          <w:tcPr>
            <w:tcW w:w="1523"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66"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23"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66"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23"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66"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23"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2389" w:type="dxa"/>
            <w:gridSpan w:val="2"/>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特殊用地</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2389" w:type="dxa"/>
            <w:gridSpan w:val="2"/>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交通用地</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2389" w:type="dxa"/>
            <w:gridSpan w:val="2"/>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合计</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restart"/>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其他土地</w:t>
            </w:r>
          </w:p>
        </w:tc>
        <w:tc>
          <w:tcPr>
            <w:tcW w:w="2389" w:type="dxa"/>
            <w:gridSpan w:val="2"/>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水域</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2389" w:type="dxa"/>
            <w:gridSpan w:val="2"/>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其他草地</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2389" w:type="dxa"/>
            <w:gridSpan w:val="2"/>
            <w:shd w:val="clear" w:color="auto" w:fill="auto"/>
            <w:noWrap/>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合计</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0" w:type="dxa"/>
            <w:gridSpan w:val="3"/>
            <w:shd w:val="clear" w:color="auto" w:fill="auto"/>
            <w:noWrap/>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总计</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r>
    </w:tbl>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备注：根据汨罗市2022年度国土变更调查数据统计</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（三）矿山所在村庄基本情况</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1、人口情况</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矿山位于汨罗市神鼎山镇新开村，村里共划分17个小组，共***户，***人。</w:t>
      </w:r>
      <w:r>
        <w:rPr>
          <w:rFonts w:hint="default" w:ascii="Times New Roman" w:hAnsi="Times New Roman" w:eastAsia="宋体" w:cs="Times New Roman"/>
          <w:sz w:val="28"/>
          <w:szCs w:val="28"/>
          <w:lang w:val="en-US" w:eastAsia="zh-CN"/>
        </w:rPr>
        <w:t>矿区范围内无常住居民。矿区范围300m爆破安全距离内的有居民房屋***栋，矿山企业已与涉及</w:t>
      </w:r>
      <w:r>
        <w:rPr>
          <w:rFonts w:hint="eastAsia" w:ascii="Times New Roman" w:hAnsi="Times New Roman" w:eastAsia="宋体" w:cs="Times New Roman"/>
          <w:sz w:val="28"/>
          <w:szCs w:val="28"/>
          <w:lang w:val="en-US" w:eastAsia="zh-CN"/>
        </w:rPr>
        <w:t>农户</w:t>
      </w:r>
      <w:r>
        <w:rPr>
          <w:rFonts w:hint="default" w:ascii="Times New Roman" w:hAnsi="Times New Roman" w:eastAsia="宋体" w:cs="Times New Roman"/>
          <w:sz w:val="28"/>
          <w:szCs w:val="28"/>
          <w:lang w:val="en-US" w:eastAsia="zh-CN"/>
        </w:rPr>
        <w:t>签订了房屋拆迁补偿安置协议（详见附件</w:t>
      </w:r>
      <w:r>
        <w:rPr>
          <w:rFonts w:hint="eastAsia" w:ascii="Times New Roman" w:hAnsi="Times New Roman" w:eastAsia="宋体" w:cs="Times New Roman"/>
          <w:sz w:val="28"/>
          <w:szCs w:val="28"/>
          <w:lang w:val="en-US" w:eastAsia="zh-CN"/>
        </w:rPr>
        <w:t>10</w:t>
      </w:r>
      <w:r>
        <w:rPr>
          <w:rFonts w:hint="default" w:ascii="Times New Roman" w:hAnsi="Times New Roman" w:eastAsia="宋体" w:cs="Times New Roman"/>
          <w:sz w:val="28"/>
          <w:szCs w:val="28"/>
          <w:lang w:val="en-US" w:eastAsia="zh-CN"/>
        </w:rPr>
        <w:t>）。</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2、产业情况</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新开村第一产业主要以水稻、油茶、玉米种植为主，有1处药材种植基地。村内有数十处中小型鱼塘，面积为50</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60亩一口塘，喂养了草鱼、雄鱼等鱼类。第二产业主要为村内的1</w:t>
      </w:r>
      <w:r>
        <w:rPr>
          <w:rFonts w:hint="default" w:ascii="Times New Roman" w:hAnsi="Times New Roman" w:eastAsia="宋体" w:cs="Times New Roman"/>
          <w:sz w:val="28"/>
          <w:szCs w:val="28"/>
          <w:lang w:eastAsia="zh-CN"/>
        </w:rPr>
        <w:t>个</w:t>
      </w:r>
      <w:r>
        <w:rPr>
          <w:rFonts w:hint="default" w:ascii="Times New Roman" w:hAnsi="Times New Roman" w:eastAsia="宋体" w:cs="Times New Roman"/>
          <w:sz w:val="28"/>
          <w:szCs w:val="28"/>
        </w:rPr>
        <w:t>水稻种植合作社以及1处小型木工厂。第三产业主要为金灵圣母庙旅游点。</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3、基础设施情况</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（1）交通</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新开村有</w:t>
      </w:r>
      <w:r>
        <w:rPr>
          <w:rFonts w:hint="default" w:ascii="Times New Roman" w:hAnsi="Times New Roman" w:eastAsia="宋体" w:cs="Times New Roman"/>
          <w:sz w:val="28"/>
          <w:szCs w:val="28"/>
        </w:rPr>
        <w:t>国道107</w:t>
      </w:r>
      <w:r>
        <w:rPr>
          <w:rFonts w:hint="default" w:ascii="Times New Roman" w:hAnsi="Times New Roman" w:eastAsia="宋体" w:cs="Times New Roman"/>
          <w:sz w:val="28"/>
          <w:szCs w:val="28"/>
          <w:lang w:val="en-US" w:eastAsia="zh-CN"/>
        </w:rPr>
        <w:t>贯通南北</w:t>
      </w:r>
      <w:r>
        <w:rPr>
          <w:rFonts w:hint="default" w:ascii="Times New Roman" w:hAnsi="Times New Roman" w:eastAsia="宋体" w:cs="Times New Roman"/>
          <w:sz w:val="28"/>
          <w:szCs w:val="28"/>
        </w:rPr>
        <w:t>，与京港澳高速相距约13.0km，</w:t>
      </w:r>
      <w:r>
        <w:rPr>
          <w:rFonts w:hint="default" w:ascii="Times New Roman" w:hAnsi="Times New Roman" w:eastAsia="宋体" w:cs="Times New Roman"/>
          <w:sz w:val="28"/>
          <w:szCs w:val="28"/>
          <w:lang w:val="en-US" w:eastAsia="zh-CN"/>
        </w:rPr>
        <w:t>内部农村道路和机耕道状况较好，</w:t>
      </w:r>
      <w:r>
        <w:rPr>
          <w:rFonts w:hint="default" w:ascii="Times New Roman" w:hAnsi="Times New Roman" w:eastAsia="宋体" w:cs="Times New Roman"/>
          <w:sz w:val="28"/>
          <w:szCs w:val="28"/>
        </w:rPr>
        <w:t>交通较为便利</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（2）水利</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根据调查，新开村村民生活用水主要为山泉水，少部分为自打井水。</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（3）电力</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电源引自当地变电站专用线路，电压10kV。本次设计的用电设备有水泵、雾炮机、办公、机修设备、生活用电等。矿区主要为二级、三级负荷。同时本矿采装运输主要采用柴油设备。因本矿无夜间施工，采场照明主要位于采场边界，防止无关人员误入。采场供电不采用架空线路供电。设计采用变压器供电，在变压器配电房安装电容器补偿装置。</w:t>
      </w:r>
    </w:p>
    <w:p>
      <w:pPr>
        <w:widowControl/>
        <w:jc w:val="left"/>
        <w:rPr>
          <w:rFonts w:hint="default" w:ascii="Times New Roman" w:hAnsi="Times New Roman" w:eastAsia="宋体" w:cs="Times New Roman"/>
        </w:rPr>
      </w:pPr>
      <w:r>
        <w:rPr>
          <w:rFonts w:hint="default" w:ascii="Times New Roman" w:hAnsi="Times New Roman" w:eastAsia="宋体" w:cs="Times New Roman"/>
        </w:rPr>
        <w:br w:type="page"/>
      </w:r>
    </w:p>
    <w:p>
      <w:pPr>
        <w:pStyle w:val="2"/>
        <w:numPr>
          <w:ilvl w:val="0"/>
          <w:numId w:val="1"/>
        </w:numPr>
        <w:jc w:val="center"/>
        <w:rPr>
          <w:rFonts w:hint="default" w:ascii="Times New Roman" w:hAnsi="Times New Roman" w:eastAsia="黑体" w:cs="Times New Roman"/>
        </w:rPr>
      </w:pPr>
      <w:bookmarkStart w:id="11" w:name="_Toc155772664"/>
      <w:r>
        <w:rPr>
          <w:rFonts w:hint="default" w:ascii="Times New Roman" w:hAnsi="Times New Roman" w:eastAsia="黑体" w:cs="Times New Roman"/>
        </w:rPr>
        <w:t>矿山生态问题识别和判断</w:t>
      </w:r>
      <w:bookmarkEnd w:id="11"/>
    </w:p>
    <w:p>
      <w:pPr>
        <w:pStyle w:val="3"/>
        <w:rPr>
          <w:rFonts w:hint="default" w:ascii="Times New Roman" w:hAnsi="Times New Roman" w:eastAsia="宋体" w:cs="Times New Roman"/>
        </w:rPr>
      </w:pPr>
      <w:bookmarkStart w:id="12" w:name="_Toc155772665"/>
      <w:r>
        <w:rPr>
          <w:rFonts w:hint="default" w:ascii="Times New Roman" w:hAnsi="Times New Roman" w:eastAsia="宋体" w:cs="Times New Roman"/>
        </w:rPr>
        <w:t>一、地形地貌景观破坏</w:t>
      </w:r>
      <w:bookmarkEnd w:id="12"/>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矿业活动对地形地貌景观破坏的影响一方面是指对原生的地形地貌景观影响和破坏，另一方面指对重要自然保护区、景观区、居民集中生活区、重要交通干线、河流湖泊直观可视范围内地形地貌景观影响。</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由于本矿山是规划新设，没有进行开采活动，所以对地形地貌景观暂未造成破坏，根据《开发利用方案》拟定的矿山建设方案、开采方式，伴随矿业活动相继展开，将会造成原生地形地貌景观破坏，具体如下：</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（一）原生地形地貌景观影响和破坏</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1、拟设矿权（</w:t>
      </w:r>
      <w:r>
        <w:rPr>
          <w:rFonts w:hint="eastAsia" w:ascii="Times New Roman" w:hAnsi="Times New Roman" w:eastAsia="宋体" w:cs="Times New Roman"/>
          <w:b/>
          <w:sz w:val="28"/>
          <w:szCs w:val="28"/>
          <w:lang w:val="en-US" w:eastAsia="zh-CN"/>
        </w:rPr>
        <w:t>露采场</w:t>
      </w:r>
      <w:r>
        <w:rPr>
          <w:rFonts w:hint="default" w:ascii="Times New Roman" w:hAnsi="Times New Roman" w:eastAsia="宋体" w:cs="Times New Roman"/>
          <w:b/>
          <w:sz w:val="28"/>
          <w:szCs w:val="28"/>
        </w:rPr>
        <w:t>）</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矿山采用山坡露天开采方式，微差爆破法作业，开采标高为+***~+***m。根据已评审通过的资源开发利用方案，矿山至开采期末，露天采场最终边坡角为***°，相对高差约***m，最终形成***级台阶，台阶高度为***m。</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开采过程中，剥离原地表植被和表层岩土，使地貌丧失生物生产力，呈岩石裸露的景观，开采后地表几乎无任何植被覆盖，对地形地貌的破坏较严重。</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2、工业广场</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工业广场占地面积***公顷，位于矿区西侧直距约***m的平整场地，矿石经汽车运往破碎加工厂工业广场卸矿平台，经破碎后将不同的粒径级配的碎石和机制砂产品经皮带运输至仓储区，再装车由公路运出销售。工业广场对地形地貌的影响和破坏主要表现为压占，对原始地形地貌景观造成一定破坏。</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3、排土场</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rPr>
        <w:t>排土场占地面积***公顷，设计排土场最大堆高***m，拟设排土场最大堆放容积***万m</w:t>
      </w:r>
      <w:r>
        <w:rPr>
          <w:rFonts w:hint="default" w:ascii="Times New Roman" w:hAnsi="Times New Roman" w:eastAsia="宋体" w:cs="Times New Roman"/>
          <w:sz w:val="28"/>
          <w:szCs w:val="28"/>
          <w:vertAlign w:val="superscript"/>
        </w:rPr>
        <w:t>3</w:t>
      </w:r>
      <w:r>
        <w:rPr>
          <w:rFonts w:hint="default" w:ascii="Times New Roman" w:hAnsi="Times New Roman" w:eastAsia="宋体" w:cs="Times New Roman"/>
          <w:sz w:val="28"/>
          <w:szCs w:val="28"/>
        </w:rPr>
        <w:t>，排土场堆积废土石等压占了</w:t>
      </w:r>
      <w:r>
        <w:rPr>
          <w:rFonts w:hint="eastAsia" w:ascii="Times New Roman" w:hAnsi="Times New Roman" w:eastAsia="宋体" w:cs="Times New Roman"/>
          <w:sz w:val="28"/>
          <w:szCs w:val="28"/>
          <w:lang w:val="en-US" w:eastAsia="zh-CN"/>
        </w:rPr>
        <w:t>***公顷</w:t>
      </w:r>
      <w:r>
        <w:rPr>
          <w:rFonts w:hint="default" w:ascii="Times New Roman" w:hAnsi="Times New Roman" w:eastAsia="宋体" w:cs="Times New Roman"/>
          <w:sz w:val="28"/>
          <w:szCs w:val="28"/>
        </w:rPr>
        <w:t>土地，造成了植被破坏，改变了原有地形地貌，对地形地貌景观造成了破坏。</w:t>
      </w:r>
    </w:p>
    <w:p>
      <w:pPr>
        <w:numPr>
          <w:ilvl w:val="0"/>
          <w:numId w:val="2"/>
        </w:numPr>
        <w:spacing w:line="360" w:lineRule="auto"/>
        <w:ind w:firstLine="562" w:firstLineChars="200"/>
        <w:rPr>
          <w:rFonts w:hint="eastAsia" w:ascii="Times New Roman" w:hAnsi="Times New Roman" w:eastAsia="宋体" w:cs="Times New Roman"/>
          <w:b/>
          <w:sz w:val="28"/>
          <w:szCs w:val="28"/>
          <w:lang w:val="en-US" w:eastAsia="zh-CN"/>
        </w:rPr>
      </w:pPr>
      <w:r>
        <w:rPr>
          <w:rFonts w:hint="eastAsia" w:ascii="Times New Roman" w:hAnsi="Times New Roman" w:eastAsia="宋体" w:cs="Times New Roman"/>
          <w:b/>
          <w:sz w:val="28"/>
          <w:szCs w:val="28"/>
          <w:lang w:val="en-US" w:eastAsia="zh-CN"/>
        </w:rPr>
        <w:t>矿山道路</w:t>
      </w:r>
    </w:p>
    <w:p>
      <w:pPr>
        <w:spacing w:line="360" w:lineRule="auto"/>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矿山道路占地面积***公顷，主要为原有农村道路拓宽建设，对地形地貌破坏较小。</w:t>
      </w:r>
    </w:p>
    <w:p>
      <w:pPr>
        <w:spacing w:line="360" w:lineRule="auto"/>
        <w:ind w:firstLine="562" w:firstLineChars="200"/>
        <w:rPr>
          <w:rFonts w:hint="default" w:ascii="Times New Roman" w:hAnsi="Times New Roman" w:eastAsia="宋体" w:cs="Times New Roman"/>
          <w:b/>
          <w:sz w:val="28"/>
          <w:szCs w:val="28"/>
          <w:lang w:val="en-US" w:eastAsia="zh-CN"/>
        </w:rPr>
      </w:pPr>
      <w:r>
        <w:rPr>
          <w:rFonts w:hint="default" w:ascii="Times New Roman" w:hAnsi="Times New Roman" w:eastAsia="宋体" w:cs="Times New Roman"/>
          <w:b/>
          <w:sz w:val="28"/>
          <w:szCs w:val="28"/>
          <w:lang w:eastAsia="zh-CN"/>
        </w:rPr>
        <w:t>（</w:t>
      </w:r>
      <w:r>
        <w:rPr>
          <w:rFonts w:hint="default" w:ascii="Times New Roman" w:hAnsi="Times New Roman" w:eastAsia="宋体" w:cs="Times New Roman"/>
          <w:b/>
          <w:sz w:val="28"/>
          <w:szCs w:val="28"/>
          <w:lang w:val="en-US" w:eastAsia="zh-CN"/>
        </w:rPr>
        <w:t>二</w:t>
      </w:r>
      <w:r>
        <w:rPr>
          <w:rFonts w:hint="default" w:ascii="Times New Roman" w:hAnsi="Times New Roman" w:eastAsia="宋体" w:cs="Times New Roman"/>
          <w:b/>
          <w:sz w:val="28"/>
          <w:szCs w:val="28"/>
          <w:lang w:eastAsia="zh-CN"/>
        </w:rPr>
        <w:t>）</w:t>
      </w:r>
      <w:r>
        <w:rPr>
          <w:rFonts w:hint="default" w:ascii="Times New Roman" w:hAnsi="Times New Roman" w:eastAsia="宋体" w:cs="Times New Roman"/>
          <w:b/>
          <w:sz w:val="28"/>
          <w:szCs w:val="28"/>
          <w:lang w:val="en-US" w:eastAsia="zh-CN"/>
        </w:rPr>
        <w:t>直观可视范围内地形地貌景观影响</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经核查，矿区范围与重点开采区、重点勘查区、勘查规划区块、自然保护地、自然保护地</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风景名胜区均无重叠，所以仅从主要交通干线、居民集中生活区及河流湖泊直观可视范围内地形地貌景观影响程度进行分析。</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1、主要交通干线</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拟设矿权范围及周边1km范围内无铁路通过，300m范围内无县级以上公路通过，矿区东侧与现状国道107相距约3km，与京港澳高速相距约13.0km，不在主要交通干线视野范围内，影响较小。</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2、居民集中生活区</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矿区外围300m爆破安全控制线范围内有***户村民居住，已协商进行搬迁，但工业广场西侧300m左右有集中居民房屋，排土场东侧400m左右有集中居民房屋，矿业活动会对其居民集中生活区造成一定的视觉污染。</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3、河流湖泊</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矿区西南侧300m、西侧200m处各有一座小（Ⅱ）型水库名为“上刘家洞水库</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下刘家洞水库”，西南侧由于有山体遮挡，对于上刘家洞水库的视觉影响相对较小，对于西侧的下刘家洞水库视觉污染相对较大。</w:t>
      </w:r>
    </w:p>
    <w:p>
      <w:pPr>
        <w:pStyle w:val="3"/>
        <w:rPr>
          <w:rFonts w:hint="default" w:ascii="Times New Roman" w:hAnsi="Times New Roman" w:eastAsia="宋体" w:cs="Times New Roman"/>
        </w:rPr>
      </w:pPr>
      <w:bookmarkStart w:id="13" w:name="_Toc155772666"/>
      <w:r>
        <w:rPr>
          <w:rFonts w:hint="default" w:ascii="Times New Roman" w:hAnsi="Times New Roman" w:eastAsia="宋体" w:cs="Times New Roman"/>
        </w:rPr>
        <w:t>二、土地资源占损</w:t>
      </w:r>
      <w:bookmarkEnd w:id="13"/>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（一）土地资源占损现状</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矿山现状尚未开采，未形成对土地资源占损。</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（二）土地资源占损趋势</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矿山对土地资源造成占损的区域主要有地面建设（主要包括工业广场、</w:t>
      </w:r>
      <w:r>
        <w:rPr>
          <w:rFonts w:hint="default" w:ascii="Times New Roman" w:hAnsi="Times New Roman" w:eastAsia="宋体" w:cs="Times New Roman"/>
          <w:sz w:val="28"/>
          <w:szCs w:val="28"/>
          <w:lang w:val="en-US" w:eastAsia="zh-CN"/>
        </w:rPr>
        <w:t>矿山道路</w:t>
      </w: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val="en-US" w:eastAsia="zh-CN"/>
        </w:rPr>
        <w:t>露采场</w:t>
      </w:r>
      <w:r>
        <w:rPr>
          <w:rFonts w:hint="default" w:ascii="Times New Roman" w:hAnsi="Times New Roman" w:eastAsia="宋体" w:cs="Times New Roman"/>
          <w:sz w:val="28"/>
          <w:szCs w:val="28"/>
        </w:rPr>
        <w:t>以及排土场。土地资源权属均为神鼎山镇新开村集体所有。</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露采场</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占地***公顷，占用地类为耕地、农村道路、其他草地、其他林地、乔木林地。</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工业广场</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占地***公顷，占用地类为坑塘水面、农村道路、其他林地、乔木林地。</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矿山</w:t>
      </w:r>
      <w:r>
        <w:rPr>
          <w:rFonts w:hint="default" w:ascii="Times New Roman" w:hAnsi="Times New Roman" w:eastAsia="宋体" w:cs="Times New Roman"/>
          <w:sz w:val="28"/>
          <w:szCs w:val="28"/>
        </w:rPr>
        <w:t>道路</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占地***公顷，占用地类为沟渠、坑塘水面、农村道路、农村宅基地、其他林地、乔木林地、耕地、其他草地。</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排土场</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占地***公顷，占用地类为坑塘水面、其他林地、乔木林地、竹林地</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其中拟损毁土地***公顷</w:t>
      </w:r>
      <w:r>
        <w:rPr>
          <w:rFonts w:hint="default" w:ascii="Times New Roman" w:hAnsi="Times New Roman" w:eastAsia="宋体" w:cs="Times New Roman"/>
          <w:sz w:val="28"/>
          <w:szCs w:val="28"/>
        </w:rPr>
        <w:t>。</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矿业活动共占</w:t>
      </w:r>
      <w:r>
        <w:rPr>
          <w:rFonts w:hint="eastAsia" w:ascii="Times New Roman" w:hAnsi="Times New Roman" w:eastAsia="宋体" w:cs="Times New Roman"/>
          <w:sz w:val="28"/>
          <w:szCs w:val="28"/>
          <w:lang w:val="en-US" w:eastAsia="zh-CN"/>
        </w:rPr>
        <w:t>用</w:t>
      </w:r>
      <w:r>
        <w:rPr>
          <w:rFonts w:hint="default" w:ascii="Times New Roman" w:hAnsi="Times New Roman" w:eastAsia="宋体" w:cs="Times New Roman"/>
          <w:sz w:val="28"/>
          <w:szCs w:val="28"/>
        </w:rPr>
        <w:t>土地资源***公顷</w:t>
      </w:r>
      <w:r>
        <w:rPr>
          <w:rFonts w:hint="eastAsia" w:ascii="Times New Roman" w:hAnsi="Times New Roman" w:eastAsia="宋体" w:cs="Times New Roman"/>
          <w:sz w:val="28"/>
          <w:szCs w:val="28"/>
          <w:lang w:val="en-US" w:eastAsia="zh-CN"/>
        </w:rPr>
        <w:t>，其中拟损毁土地***公顷</w:t>
      </w: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val="en-US" w:eastAsia="zh-CN"/>
        </w:rPr>
        <w:t>详见表3-1。</w:t>
      </w:r>
    </w:p>
    <w:p>
      <w:pPr>
        <w:spacing w:line="360" w:lineRule="auto"/>
        <w:ind w:firstLine="482" w:firstLineChars="200"/>
        <w:jc w:val="center"/>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rPr>
        <w:t>表</w:t>
      </w:r>
      <w:r>
        <w:rPr>
          <w:rFonts w:hint="default" w:ascii="Times New Roman" w:hAnsi="Times New Roman" w:eastAsia="宋体" w:cs="Times New Roman"/>
          <w:b/>
          <w:sz w:val="24"/>
          <w:szCs w:val="24"/>
          <w:lang w:val="en-US" w:eastAsia="zh-CN"/>
        </w:rPr>
        <w:t>3</w:t>
      </w:r>
      <w:r>
        <w:rPr>
          <w:rFonts w:hint="default" w:ascii="Times New Roman" w:hAnsi="Times New Roman" w:eastAsia="宋体" w:cs="Times New Roman"/>
          <w:b/>
          <w:sz w:val="24"/>
          <w:szCs w:val="24"/>
        </w:rPr>
        <w:t>-1</w:t>
      </w:r>
      <w:r>
        <w:rPr>
          <w:rFonts w:hint="default" w:ascii="Times New Roman" w:hAnsi="Times New Roman" w:eastAsia="宋体" w:cs="Times New Roman"/>
          <w:b/>
          <w:sz w:val="24"/>
          <w:szCs w:val="24"/>
          <w:lang w:val="en-US" w:eastAsia="zh-CN"/>
        </w:rPr>
        <w:t>各占地单元预测</w:t>
      </w:r>
      <w:r>
        <w:rPr>
          <w:rFonts w:hint="eastAsia" w:ascii="Times New Roman" w:hAnsi="Times New Roman" w:eastAsia="宋体" w:cs="Times New Roman"/>
          <w:b/>
          <w:sz w:val="24"/>
          <w:szCs w:val="24"/>
          <w:lang w:val="en-US" w:eastAsia="zh-CN"/>
        </w:rPr>
        <w:t>占用</w:t>
      </w:r>
      <w:r>
        <w:rPr>
          <w:rFonts w:hint="default" w:ascii="Times New Roman" w:hAnsi="Times New Roman" w:eastAsia="宋体" w:cs="Times New Roman"/>
          <w:b/>
          <w:sz w:val="24"/>
          <w:szCs w:val="24"/>
          <w:lang w:val="en-US" w:eastAsia="zh-CN"/>
        </w:rPr>
        <w:t>土地资源汇总表</w:t>
      </w:r>
    </w:p>
    <w:p>
      <w:pPr>
        <w:spacing w:line="0" w:lineRule="atLeast"/>
        <w:ind w:firstLine="482" w:firstLineChars="200"/>
        <w:jc w:val="right"/>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单位：公顷</w:t>
      </w:r>
    </w:p>
    <w:tbl>
      <w:tblPr>
        <w:tblStyle w:val="12"/>
        <w:tblW w:w="8640" w:type="dxa"/>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4"/>
        <w:gridCol w:w="1535"/>
        <w:gridCol w:w="1080"/>
        <w:gridCol w:w="1080"/>
        <w:gridCol w:w="1080"/>
        <w:gridCol w:w="1080"/>
        <w:gridCol w:w="1080"/>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0" w:type="dxa"/>
            <w:gridSpan w:val="3"/>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地类</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合计</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lang w:val="en-US" w:eastAsia="zh-CN"/>
              </w:rPr>
              <w:t>露采场</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工业</w:t>
            </w:r>
          </w:p>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广场</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排土场</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拟建</w:t>
            </w:r>
          </w:p>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道路</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restart"/>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农用地</w:t>
            </w:r>
          </w:p>
        </w:tc>
        <w:tc>
          <w:tcPr>
            <w:tcW w:w="854" w:type="dxa"/>
            <w:vMerge w:val="restart"/>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耕地</w:t>
            </w:r>
          </w:p>
        </w:tc>
        <w:tc>
          <w:tcPr>
            <w:tcW w:w="1535"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水田</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54"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35"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旱地</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54"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35"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小计</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54"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园地</w:t>
            </w:r>
          </w:p>
        </w:tc>
        <w:tc>
          <w:tcPr>
            <w:tcW w:w="1535"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园地</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54" w:type="dxa"/>
            <w:vMerge w:val="restart"/>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林地</w:t>
            </w:r>
          </w:p>
        </w:tc>
        <w:tc>
          <w:tcPr>
            <w:tcW w:w="1535"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其他林地</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54"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35"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乔木林地</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54"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35"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竹林地</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54"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35"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小计</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54" w:type="dxa"/>
            <w:vMerge w:val="restart"/>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其他农用地</w:t>
            </w:r>
          </w:p>
        </w:tc>
        <w:tc>
          <w:tcPr>
            <w:tcW w:w="1535"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沟渠</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54"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35"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坑塘水面</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54"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35"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农村道路</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54"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35"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小计</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2389" w:type="dxa"/>
            <w:gridSpan w:val="2"/>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合计</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restart"/>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建设用地</w:t>
            </w:r>
          </w:p>
        </w:tc>
        <w:tc>
          <w:tcPr>
            <w:tcW w:w="854" w:type="dxa"/>
            <w:vMerge w:val="restart"/>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城乡建设用地</w:t>
            </w:r>
          </w:p>
        </w:tc>
        <w:tc>
          <w:tcPr>
            <w:tcW w:w="1535"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54"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35"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54"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35"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854"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1535"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2389" w:type="dxa"/>
            <w:gridSpan w:val="2"/>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特殊用地</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2389" w:type="dxa"/>
            <w:gridSpan w:val="2"/>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交通用地</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2389" w:type="dxa"/>
            <w:gridSpan w:val="2"/>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合计</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restart"/>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其他土地</w:t>
            </w:r>
          </w:p>
        </w:tc>
        <w:tc>
          <w:tcPr>
            <w:tcW w:w="2389" w:type="dxa"/>
            <w:gridSpan w:val="2"/>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水域</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2389" w:type="dxa"/>
            <w:gridSpan w:val="2"/>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其他草地</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1" w:type="dxa"/>
            <w:vMerge w:val="continue"/>
            <w:vAlign w:val="center"/>
          </w:tcPr>
          <w:p>
            <w:pPr>
              <w:widowControl/>
              <w:spacing w:line="0" w:lineRule="atLeast"/>
              <w:jc w:val="center"/>
              <w:rPr>
                <w:rFonts w:hint="default" w:ascii="Times New Roman" w:hAnsi="Times New Roman" w:eastAsia="宋体" w:cs="Times New Roman"/>
                <w:color w:val="000000"/>
                <w:kern w:val="0"/>
                <w:sz w:val="24"/>
                <w:szCs w:val="24"/>
              </w:rPr>
            </w:pPr>
          </w:p>
        </w:tc>
        <w:tc>
          <w:tcPr>
            <w:tcW w:w="2389" w:type="dxa"/>
            <w:gridSpan w:val="2"/>
            <w:shd w:val="clear" w:color="auto" w:fill="auto"/>
            <w:noWrap/>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合计</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0" w:type="dxa"/>
            <w:gridSpan w:val="3"/>
            <w:shd w:val="clear" w:color="auto" w:fill="auto"/>
            <w:noWrap/>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总计</w:t>
            </w:r>
          </w:p>
        </w:tc>
        <w:tc>
          <w:tcPr>
            <w:tcW w:w="1080" w:type="dxa"/>
            <w:shd w:val="clear" w:color="auto" w:fill="auto"/>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c>
          <w:tcPr>
            <w:tcW w:w="1080" w:type="dxa"/>
            <w:shd w:val="clear" w:color="auto" w:fill="auto"/>
            <w:noWrap/>
            <w:vAlign w:val="center"/>
          </w:tcPr>
          <w:p>
            <w:pPr>
              <w:widowControl/>
              <w:spacing w:line="0" w:lineRule="atLeast"/>
              <w:jc w:val="center"/>
              <w:rPr>
                <w:rFonts w:hint="default" w:ascii="Times New Roman" w:hAnsi="Times New Roman" w:eastAsia="宋体" w:cs="Times New Roman"/>
                <w:b/>
                <w:bCs/>
                <w:color w:val="000000"/>
                <w:kern w:val="0"/>
                <w:sz w:val="24"/>
                <w:szCs w:val="24"/>
              </w:rPr>
            </w:pPr>
            <w:r>
              <w:rPr>
                <w:rFonts w:hint="eastAsia"/>
              </w:rPr>
              <w:t>***</w:t>
            </w:r>
          </w:p>
        </w:tc>
      </w:tr>
    </w:tbl>
    <w:p>
      <w:pPr>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备注：根据汨罗市2022年度国土变更调查数据统计，其中排土场拟损毁土地***公顷。</w:t>
      </w:r>
    </w:p>
    <w:p>
      <w:pPr>
        <w:spacing w:line="360" w:lineRule="auto"/>
        <w:ind w:firstLine="562" w:firstLineChars="200"/>
        <w:rPr>
          <w:rFonts w:hint="default" w:ascii="Times New Roman" w:hAnsi="Times New Roman" w:eastAsia="宋体" w:cs="Times New Roman"/>
          <w:sz w:val="28"/>
          <w:szCs w:val="28"/>
          <w:highlight w:val="yellow"/>
        </w:rPr>
      </w:pPr>
      <w:r>
        <w:rPr>
          <w:rFonts w:hint="default" w:ascii="Times New Roman" w:hAnsi="Times New Roman" w:eastAsia="宋体" w:cs="Times New Roman"/>
          <w:b/>
          <w:sz w:val="28"/>
          <w:szCs w:val="28"/>
        </w:rPr>
        <w:t>（三）土石环境影响现状及预测分析</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1、土石环境影响现状</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目前矿区未有任何在建设施，矿区开采矿种为花岗岩，含有毒有害物质很低，不会对周边土石环境造成污染，现状条件对土石环境污染较轻。</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2、土石环境影响预测</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根据《湖南省汨罗市梅树湾矿区建筑用花岗岩矿勘查报告》对</w:t>
      </w:r>
      <w:r>
        <w:rPr>
          <w:rFonts w:hint="default" w:ascii="Times New Roman" w:hAnsi="Times New Roman" w:eastAsia="宋体" w:cs="Times New Roman"/>
          <w:sz w:val="28"/>
          <w:szCs w:val="28"/>
          <w:lang w:eastAsia="en-US"/>
        </w:rPr>
        <w:t>采集</w:t>
      </w:r>
      <w:r>
        <w:rPr>
          <w:rFonts w:hint="default" w:ascii="Times New Roman" w:hAnsi="Times New Roman" w:eastAsia="宋体" w:cs="Times New Roman"/>
          <w:sz w:val="28"/>
          <w:szCs w:val="28"/>
          <w:lang w:val="en-US" w:eastAsia="zh-CN"/>
        </w:rPr>
        <w:t>的</w:t>
      </w:r>
      <w:r>
        <w:rPr>
          <w:rFonts w:hint="default" w:ascii="Times New Roman" w:hAnsi="Times New Roman" w:eastAsia="宋体" w:cs="Times New Roman"/>
          <w:sz w:val="28"/>
          <w:szCs w:val="28"/>
          <w:lang w:eastAsia="en-US"/>
        </w:rPr>
        <w:t>2件全风化花岗岩、2件中风化花岗岩、2件花岗岩做有毒有害重金属分析，样品中Hg***～***mg/L，Pb﹤***mg/L，Cr﹤***mg/L，Cd***～***mg/L，Tl﹤***mg/L，As***～***mg/L。根据《土壤环境质量农用地土壤污染风险管控标准（试行）》（GB15618-2018）中对各有毒有害物质规定的污染风险筛选值（表</w:t>
      </w:r>
      <w:r>
        <w:rPr>
          <w:rFonts w:hint="default" w:ascii="Times New Roman" w:hAnsi="Times New Roman" w:eastAsia="宋体" w:cs="Times New Roman"/>
          <w:sz w:val="28"/>
          <w:szCs w:val="28"/>
          <w:lang w:val="en-US" w:eastAsia="zh-CN"/>
        </w:rPr>
        <w:t>3-3</w:t>
      </w:r>
      <w:r>
        <w:rPr>
          <w:rFonts w:hint="default" w:ascii="Times New Roman" w:hAnsi="Times New Roman" w:eastAsia="宋体" w:cs="Times New Roman"/>
          <w:sz w:val="28"/>
          <w:szCs w:val="28"/>
          <w:lang w:eastAsia="en-US"/>
        </w:rPr>
        <w:t>），分析结果远低于指标要求。</w:t>
      </w:r>
      <w:r>
        <w:rPr>
          <w:rFonts w:hint="default" w:ascii="Times New Roman" w:hAnsi="Times New Roman" w:eastAsia="宋体" w:cs="Times New Roman"/>
          <w:sz w:val="28"/>
          <w:szCs w:val="28"/>
          <w:lang w:val="en-US" w:eastAsia="zh-CN"/>
        </w:rPr>
        <w:t>矿区未来建设不会对周边土石环境造成污染。</w:t>
      </w:r>
    </w:p>
    <w:p>
      <w:pPr>
        <w:spacing w:line="360" w:lineRule="auto"/>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表3-</w:t>
      </w:r>
      <w:r>
        <w:rPr>
          <w:rFonts w:hint="default" w:ascii="Times New Roman" w:hAnsi="Times New Roman" w:eastAsia="宋体" w:cs="Times New Roman"/>
          <w:b/>
          <w:sz w:val="24"/>
          <w:szCs w:val="24"/>
          <w:lang w:val="en-US" w:eastAsia="zh-CN"/>
        </w:rPr>
        <w:t>2</w:t>
      </w:r>
      <w:r>
        <w:rPr>
          <w:rFonts w:hint="default" w:ascii="Times New Roman" w:hAnsi="Times New Roman" w:eastAsia="宋体" w:cs="Times New Roman"/>
          <w:b/>
          <w:sz w:val="24"/>
          <w:szCs w:val="24"/>
        </w:rPr>
        <w:t>有毒有害物质污染筛选值详情表</w:t>
      </w:r>
    </w:p>
    <w:p>
      <w:pPr>
        <w:spacing w:line="0" w:lineRule="atLeast"/>
        <w:ind w:firstLine="482" w:firstLineChars="200"/>
        <w:jc w:val="righ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单位：mg/kg</w:t>
      </w:r>
    </w:p>
    <w:tbl>
      <w:tblPr>
        <w:tblStyle w:val="13"/>
        <w:tblW w:w="5000" w:type="pct"/>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57"/>
        <w:gridCol w:w="1261"/>
        <w:gridCol w:w="1065"/>
        <w:gridCol w:w="1599"/>
        <w:gridCol w:w="1689"/>
        <w:gridCol w:w="1451"/>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55" w:type="pct"/>
            <w:vMerge w:val="restart"/>
            <w:vAlign w:val="center"/>
          </w:tcPr>
          <w:p>
            <w:pPr>
              <w:spacing w:line="0" w:lineRule="atLeast"/>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污染物项目</w:t>
            </w:r>
          </w:p>
        </w:tc>
        <w:tc>
          <w:tcPr>
            <w:tcW w:w="4145" w:type="pct"/>
            <w:gridSpan w:val="5"/>
            <w:vAlign w:val="center"/>
          </w:tcPr>
          <w:p>
            <w:pPr>
              <w:spacing w:line="0" w:lineRule="atLeast"/>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风险筛选值</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55" w:type="pct"/>
            <w:vMerge w:val="continue"/>
            <w:vAlign w:val="center"/>
          </w:tcPr>
          <w:p>
            <w:pPr>
              <w:spacing w:line="0" w:lineRule="atLeast"/>
              <w:jc w:val="center"/>
              <w:rPr>
                <w:rFonts w:hint="default" w:ascii="Times New Roman" w:hAnsi="Times New Roman" w:eastAsia="宋体" w:cs="Times New Roman"/>
                <w:szCs w:val="21"/>
              </w:rPr>
            </w:pPr>
          </w:p>
        </w:tc>
        <w:tc>
          <w:tcPr>
            <w:tcW w:w="740" w:type="pct"/>
            <w:vAlign w:val="center"/>
          </w:tcPr>
          <w:p>
            <w:pPr>
              <w:spacing w:line="0" w:lineRule="atLeast"/>
              <w:jc w:val="center"/>
              <w:rPr>
                <w:rFonts w:hint="default" w:ascii="Times New Roman" w:hAnsi="Times New Roman" w:eastAsia="宋体" w:cs="Times New Roman"/>
                <w:szCs w:val="21"/>
              </w:rPr>
            </w:pPr>
          </w:p>
        </w:tc>
        <w:tc>
          <w:tcPr>
            <w:tcW w:w="625" w:type="pct"/>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pH≤5.5</w:t>
            </w:r>
          </w:p>
        </w:tc>
        <w:tc>
          <w:tcPr>
            <w:tcW w:w="938" w:type="pct"/>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5.5＜pH≤6.5</w:t>
            </w:r>
          </w:p>
        </w:tc>
        <w:tc>
          <w:tcPr>
            <w:tcW w:w="991" w:type="pct"/>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6.5＜pH≤7.5</w:t>
            </w:r>
          </w:p>
        </w:tc>
        <w:tc>
          <w:tcPr>
            <w:tcW w:w="851" w:type="pct"/>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pH＞7.5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55" w:type="pct"/>
            <w:vMerge w:val="restart"/>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Cd</w:t>
            </w:r>
          </w:p>
        </w:tc>
        <w:tc>
          <w:tcPr>
            <w:tcW w:w="740" w:type="pct"/>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水田</w:t>
            </w:r>
          </w:p>
        </w:tc>
        <w:tc>
          <w:tcPr>
            <w:tcW w:w="625"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938"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991"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851" w:type="pct"/>
            <w:vAlign w:val="center"/>
          </w:tcPr>
          <w:p>
            <w:pPr>
              <w:spacing w:line="0" w:lineRule="atLeast"/>
              <w:jc w:val="center"/>
              <w:rPr>
                <w:rFonts w:hint="default" w:ascii="Times New Roman" w:hAnsi="Times New Roman" w:eastAsia="宋体" w:cs="Times New Roman"/>
                <w:szCs w:val="21"/>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55" w:type="pct"/>
            <w:vMerge w:val="continue"/>
            <w:vAlign w:val="center"/>
          </w:tcPr>
          <w:p>
            <w:pPr>
              <w:spacing w:line="0" w:lineRule="atLeast"/>
              <w:jc w:val="center"/>
              <w:rPr>
                <w:rFonts w:hint="default" w:ascii="Times New Roman" w:hAnsi="Times New Roman" w:eastAsia="宋体" w:cs="Times New Roman"/>
                <w:szCs w:val="21"/>
              </w:rPr>
            </w:pPr>
          </w:p>
        </w:tc>
        <w:tc>
          <w:tcPr>
            <w:tcW w:w="740" w:type="pct"/>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其他</w:t>
            </w:r>
          </w:p>
        </w:tc>
        <w:tc>
          <w:tcPr>
            <w:tcW w:w="625"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938"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991"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851" w:type="pct"/>
            <w:vAlign w:val="center"/>
          </w:tcPr>
          <w:p>
            <w:pPr>
              <w:spacing w:line="0" w:lineRule="atLeast"/>
              <w:jc w:val="center"/>
              <w:rPr>
                <w:rFonts w:hint="default" w:ascii="Times New Roman" w:hAnsi="Times New Roman" w:eastAsia="宋体" w:cs="Times New Roman"/>
                <w:szCs w:val="21"/>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55" w:type="pct"/>
            <w:vMerge w:val="restart"/>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Hg</w:t>
            </w:r>
          </w:p>
        </w:tc>
        <w:tc>
          <w:tcPr>
            <w:tcW w:w="740" w:type="pct"/>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水田</w:t>
            </w:r>
          </w:p>
        </w:tc>
        <w:tc>
          <w:tcPr>
            <w:tcW w:w="625"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938"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991"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851" w:type="pct"/>
            <w:vAlign w:val="center"/>
          </w:tcPr>
          <w:p>
            <w:pPr>
              <w:spacing w:line="0" w:lineRule="atLeast"/>
              <w:jc w:val="center"/>
              <w:rPr>
                <w:rFonts w:hint="default" w:ascii="Times New Roman" w:hAnsi="Times New Roman" w:eastAsia="宋体" w:cs="Times New Roman"/>
                <w:szCs w:val="21"/>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55" w:type="pct"/>
            <w:vMerge w:val="continue"/>
            <w:vAlign w:val="center"/>
          </w:tcPr>
          <w:p>
            <w:pPr>
              <w:spacing w:line="0" w:lineRule="atLeast"/>
              <w:jc w:val="center"/>
              <w:rPr>
                <w:rFonts w:hint="default" w:ascii="Times New Roman" w:hAnsi="Times New Roman" w:eastAsia="宋体" w:cs="Times New Roman"/>
                <w:szCs w:val="21"/>
              </w:rPr>
            </w:pPr>
          </w:p>
        </w:tc>
        <w:tc>
          <w:tcPr>
            <w:tcW w:w="740" w:type="pct"/>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其他</w:t>
            </w:r>
          </w:p>
        </w:tc>
        <w:tc>
          <w:tcPr>
            <w:tcW w:w="625"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938"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991"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851" w:type="pct"/>
            <w:vAlign w:val="center"/>
          </w:tcPr>
          <w:p>
            <w:pPr>
              <w:spacing w:line="0" w:lineRule="atLeast"/>
              <w:jc w:val="center"/>
              <w:rPr>
                <w:rFonts w:hint="default" w:ascii="Times New Roman" w:hAnsi="Times New Roman" w:eastAsia="宋体" w:cs="Times New Roman"/>
                <w:szCs w:val="21"/>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55" w:type="pct"/>
            <w:vMerge w:val="restart"/>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As</w:t>
            </w:r>
          </w:p>
        </w:tc>
        <w:tc>
          <w:tcPr>
            <w:tcW w:w="740" w:type="pct"/>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水田</w:t>
            </w:r>
          </w:p>
        </w:tc>
        <w:tc>
          <w:tcPr>
            <w:tcW w:w="625"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938"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991"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851" w:type="pct"/>
            <w:vAlign w:val="center"/>
          </w:tcPr>
          <w:p>
            <w:pPr>
              <w:spacing w:line="0" w:lineRule="atLeast"/>
              <w:jc w:val="center"/>
              <w:rPr>
                <w:rFonts w:hint="default" w:ascii="Times New Roman" w:hAnsi="Times New Roman" w:eastAsia="宋体" w:cs="Times New Roman"/>
                <w:szCs w:val="21"/>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55" w:type="pct"/>
            <w:vMerge w:val="continue"/>
            <w:vAlign w:val="center"/>
          </w:tcPr>
          <w:p>
            <w:pPr>
              <w:spacing w:line="0" w:lineRule="atLeast"/>
              <w:jc w:val="center"/>
              <w:rPr>
                <w:rFonts w:hint="default" w:ascii="Times New Roman" w:hAnsi="Times New Roman" w:eastAsia="宋体" w:cs="Times New Roman"/>
                <w:szCs w:val="21"/>
              </w:rPr>
            </w:pPr>
          </w:p>
        </w:tc>
        <w:tc>
          <w:tcPr>
            <w:tcW w:w="740" w:type="pct"/>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其他</w:t>
            </w:r>
          </w:p>
        </w:tc>
        <w:tc>
          <w:tcPr>
            <w:tcW w:w="625"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938"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991"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851" w:type="pct"/>
            <w:vAlign w:val="center"/>
          </w:tcPr>
          <w:p>
            <w:pPr>
              <w:spacing w:line="0" w:lineRule="atLeast"/>
              <w:jc w:val="center"/>
              <w:rPr>
                <w:rFonts w:hint="default" w:ascii="Times New Roman" w:hAnsi="Times New Roman" w:eastAsia="宋体" w:cs="Times New Roman"/>
                <w:szCs w:val="21"/>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55" w:type="pct"/>
            <w:vMerge w:val="restart"/>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Pb</w:t>
            </w:r>
          </w:p>
        </w:tc>
        <w:tc>
          <w:tcPr>
            <w:tcW w:w="740" w:type="pct"/>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水田</w:t>
            </w:r>
          </w:p>
        </w:tc>
        <w:tc>
          <w:tcPr>
            <w:tcW w:w="625"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938"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991"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851" w:type="pct"/>
            <w:vAlign w:val="center"/>
          </w:tcPr>
          <w:p>
            <w:pPr>
              <w:spacing w:line="0" w:lineRule="atLeast"/>
              <w:jc w:val="center"/>
              <w:rPr>
                <w:rFonts w:hint="default" w:ascii="Times New Roman" w:hAnsi="Times New Roman" w:eastAsia="宋体" w:cs="Times New Roman"/>
                <w:szCs w:val="21"/>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55" w:type="pct"/>
            <w:vMerge w:val="continue"/>
            <w:vAlign w:val="center"/>
          </w:tcPr>
          <w:p>
            <w:pPr>
              <w:spacing w:line="0" w:lineRule="atLeast"/>
              <w:jc w:val="center"/>
              <w:rPr>
                <w:rFonts w:hint="default" w:ascii="Times New Roman" w:hAnsi="Times New Roman" w:eastAsia="宋体" w:cs="Times New Roman"/>
                <w:szCs w:val="21"/>
              </w:rPr>
            </w:pPr>
          </w:p>
        </w:tc>
        <w:tc>
          <w:tcPr>
            <w:tcW w:w="740" w:type="pct"/>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其他</w:t>
            </w:r>
          </w:p>
        </w:tc>
        <w:tc>
          <w:tcPr>
            <w:tcW w:w="625"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938"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991"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851" w:type="pct"/>
            <w:vAlign w:val="center"/>
          </w:tcPr>
          <w:p>
            <w:pPr>
              <w:spacing w:line="0" w:lineRule="atLeast"/>
              <w:jc w:val="center"/>
              <w:rPr>
                <w:rFonts w:hint="default" w:ascii="Times New Roman" w:hAnsi="Times New Roman" w:eastAsia="宋体" w:cs="Times New Roman"/>
                <w:szCs w:val="21"/>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55" w:type="pct"/>
            <w:vMerge w:val="restart"/>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Cr</w:t>
            </w:r>
          </w:p>
        </w:tc>
        <w:tc>
          <w:tcPr>
            <w:tcW w:w="740" w:type="pct"/>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水田</w:t>
            </w:r>
          </w:p>
        </w:tc>
        <w:tc>
          <w:tcPr>
            <w:tcW w:w="625"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938"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991"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851" w:type="pct"/>
            <w:vAlign w:val="center"/>
          </w:tcPr>
          <w:p>
            <w:pPr>
              <w:spacing w:line="0" w:lineRule="atLeast"/>
              <w:jc w:val="center"/>
              <w:rPr>
                <w:rFonts w:hint="default" w:ascii="Times New Roman" w:hAnsi="Times New Roman" w:eastAsia="宋体" w:cs="Times New Roman"/>
                <w:szCs w:val="21"/>
              </w:rPr>
            </w:pPr>
            <w:r>
              <w:rPr>
                <w:rFonts w:hint="eastAsia"/>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55" w:type="pct"/>
            <w:vMerge w:val="continue"/>
            <w:vAlign w:val="center"/>
          </w:tcPr>
          <w:p>
            <w:pPr>
              <w:spacing w:line="0" w:lineRule="atLeast"/>
              <w:jc w:val="center"/>
              <w:rPr>
                <w:rFonts w:hint="default" w:ascii="Times New Roman" w:hAnsi="Times New Roman" w:eastAsia="宋体" w:cs="Times New Roman"/>
                <w:szCs w:val="21"/>
              </w:rPr>
            </w:pPr>
          </w:p>
        </w:tc>
        <w:tc>
          <w:tcPr>
            <w:tcW w:w="740" w:type="pct"/>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其他</w:t>
            </w:r>
          </w:p>
        </w:tc>
        <w:tc>
          <w:tcPr>
            <w:tcW w:w="625"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938"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991" w:type="pct"/>
            <w:vAlign w:val="center"/>
          </w:tcPr>
          <w:p>
            <w:pPr>
              <w:spacing w:line="0" w:lineRule="atLeast"/>
              <w:jc w:val="center"/>
              <w:rPr>
                <w:rFonts w:hint="default" w:ascii="Times New Roman" w:hAnsi="Times New Roman" w:eastAsia="宋体" w:cs="Times New Roman"/>
                <w:szCs w:val="21"/>
              </w:rPr>
            </w:pPr>
            <w:r>
              <w:rPr>
                <w:rFonts w:hint="eastAsia"/>
              </w:rPr>
              <w:t>***</w:t>
            </w:r>
          </w:p>
        </w:tc>
        <w:tc>
          <w:tcPr>
            <w:tcW w:w="851" w:type="pct"/>
            <w:vAlign w:val="center"/>
          </w:tcPr>
          <w:p>
            <w:pPr>
              <w:spacing w:line="0" w:lineRule="atLeast"/>
              <w:jc w:val="center"/>
              <w:rPr>
                <w:rFonts w:hint="default" w:ascii="Times New Roman" w:hAnsi="Times New Roman" w:eastAsia="宋体" w:cs="Times New Roman"/>
                <w:szCs w:val="21"/>
              </w:rPr>
            </w:pPr>
            <w:r>
              <w:rPr>
                <w:rFonts w:hint="eastAsia"/>
              </w:rPr>
              <w:t>***</w:t>
            </w:r>
          </w:p>
        </w:tc>
      </w:tr>
    </w:tbl>
    <w:p>
      <w:pPr>
        <w:spacing w:line="360" w:lineRule="auto"/>
        <w:ind w:firstLine="560" w:firstLineChars="200"/>
        <w:rPr>
          <w:rFonts w:hint="default" w:ascii="Times New Roman" w:hAnsi="Times New Roman" w:eastAsia="宋体" w:cs="Times New Roman"/>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360" w:lineRule="auto"/>
        <w:jc w:val="center"/>
        <w:rPr>
          <w:rFonts w:hint="default" w:ascii="Times New Roman" w:hAnsi="Times New Roman" w:eastAsia="宋体" w:cs="Times New Roman"/>
          <w:sz w:val="28"/>
          <w:szCs w:val="28"/>
          <w:lang w:eastAsia="zh-CN"/>
        </w:rPr>
      </w:pPr>
    </w:p>
    <w:p>
      <w:pPr>
        <w:spacing w:line="360" w:lineRule="auto"/>
        <w:jc w:val="center"/>
        <w:rPr>
          <w:rFonts w:hint="default" w:ascii="Times New Roman" w:hAnsi="Times New Roman" w:eastAsia="宋体" w:cs="Times New Roman"/>
          <w:sz w:val="28"/>
          <w:szCs w:val="28"/>
          <w:lang w:eastAsia="zh-CN"/>
        </w:rPr>
        <w:sectPr>
          <w:pgSz w:w="23811" w:h="16838"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rPr>
          <w:rFonts w:hint="default" w:ascii="Times New Roman" w:hAnsi="Times New Roman" w:eastAsia="宋体" w:cs="Times New Roman"/>
        </w:rPr>
      </w:pPr>
      <w:bookmarkStart w:id="14" w:name="_Toc155772667"/>
      <w:r>
        <w:rPr>
          <w:rFonts w:hint="default" w:ascii="Times New Roman" w:hAnsi="Times New Roman" w:eastAsia="宋体" w:cs="Times New Roman"/>
        </w:rPr>
        <w:t>三、水资源水生态破坏</w:t>
      </w:r>
      <w:bookmarkEnd w:id="14"/>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（一）水资源、水生态破坏现状</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1、水资源破坏现状</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根据调查，</w:t>
      </w:r>
      <w:r>
        <w:rPr>
          <w:rFonts w:hint="default" w:ascii="Times New Roman" w:hAnsi="Times New Roman" w:eastAsia="宋体" w:cs="Times New Roman"/>
          <w:sz w:val="28"/>
          <w:szCs w:val="28"/>
        </w:rPr>
        <w:t>矿区周边的矿业活动未引起地下水枯竭或漏失，未引起周边居民饮用水井的异常变化，矿山开采对区域地下水均衡和地表水漏失等尚无影响，目前矿业活动对水资源的影响较轻。</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2、水生态破坏现状</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（1）地下水破坏现状</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矿山地下水化学类型为HCO</w:t>
      </w:r>
      <w:r>
        <w:rPr>
          <w:rFonts w:hint="default" w:ascii="Times New Roman" w:hAnsi="Times New Roman" w:eastAsia="宋体" w:cs="Times New Roman"/>
          <w:sz w:val="28"/>
          <w:szCs w:val="28"/>
          <w:vertAlign w:val="subscript"/>
        </w:rPr>
        <w:t>3</w:t>
      </w:r>
      <w:r>
        <w:rPr>
          <w:rFonts w:hint="default" w:ascii="Times New Roman" w:hAnsi="Times New Roman" w:eastAsia="宋体" w:cs="Times New Roman"/>
          <w:sz w:val="28"/>
          <w:szCs w:val="28"/>
        </w:rPr>
        <w:t>－Ca型为主。地下水类型主要有赋存于花岗岩风化壳中的花岗岩风化裂隙水以及赋存于第四系残坡积层中的松散岩类孔隙水两种类型，富水性均较弱。矿山开采为建筑用花岗岩，根据相关监测报告，无有毒有害物质，同时矿山开采过程中也无有毒有害物质参与生产，所以矿山开采对地下水环境无影响。</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（2）地表水破坏现状</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区域出露的地表水未见明显的悬浮物，周边水库水塘中水质清澈透明，周边植被生长良好，农业灌溉用水正常。矿区内地表水通过沉砂池沉淀后，排入外部排水系统。矿山开采，对水生态的影响较轻。</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（二）水资源、水生态影响趋势</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1、水资源影响趋势</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（1）地下水枯竭影响较轻</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未来矿山</w:t>
      </w:r>
      <w:r>
        <w:rPr>
          <w:rFonts w:hint="default" w:ascii="Times New Roman" w:hAnsi="Times New Roman" w:eastAsia="宋体" w:cs="Times New Roman"/>
          <w:sz w:val="28"/>
          <w:szCs w:val="28"/>
          <w:lang w:eastAsia="zh-CN"/>
        </w:rPr>
        <w:t>开采</w:t>
      </w:r>
      <w:r>
        <w:rPr>
          <w:rFonts w:hint="default" w:ascii="Times New Roman" w:hAnsi="Times New Roman" w:eastAsia="宋体" w:cs="Times New Roman"/>
          <w:sz w:val="28"/>
          <w:szCs w:val="28"/>
        </w:rPr>
        <w:t>终了</w:t>
      </w:r>
      <w:r>
        <w:rPr>
          <w:rFonts w:hint="eastAsia" w:ascii="Times New Roman" w:hAnsi="Times New Roman" w:eastAsia="宋体" w:cs="Times New Roman"/>
          <w:sz w:val="28"/>
          <w:szCs w:val="28"/>
          <w:lang w:val="en-US" w:eastAsia="zh-CN"/>
        </w:rPr>
        <w:t>平台</w:t>
      </w:r>
      <w:r>
        <w:rPr>
          <w:rFonts w:hint="default" w:ascii="Times New Roman" w:hAnsi="Times New Roman" w:eastAsia="宋体" w:cs="Times New Roman"/>
          <w:sz w:val="28"/>
          <w:szCs w:val="28"/>
        </w:rPr>
        <w:t>高于当地最低侵蚀基准面，未来</w:t>
      </w:r>
      <w:r>
        <w:rPr>
          <w:rFonts w:hint="default" w:ascii="Times New Roman" w:hAnsi="Times New Roman" w:eastAsia="宋体" w:cs="Times New Roman"/>
          <w:sz w:val="28"/>
          <w:szCs w:val="28"/>
          <w:lang w:eastAsia="zh-CN"/>
        </w:rPr>
        <w:t>采</w:t>
      </w:r>
      <w:r>
        <w:rPr>
          <w:rFonts w:hint="default" w:ascii="Times New Roman" w:hAnsi="Times New Roman" w:eastAsia="宋体" w:cs="Times New Roman"/>
          <w:sz w:val="28"/>
          <w:szCs w:val="28"/>
        </w:rPr>
        <w:t>场充水主要来源是大气降水，矿山开采</w:t>
      </w:r>
      <w:r>
        <w:rPr>
          <w:rFonts w:hint="default" w:ascii="Times New Roman" w:hAnsi="Times New Roman" w:eastAsia="宋体" w:cs="Times New Roman"/>
          <w:sz w:val="28"/>
          <w:szCs w:val="28"/>
          <w:lang w:eastAsia="zh-CN"/>
        </w:rPr>
        <w:t>采</w:t>
      </w:r>
      <w:r>
        <w:rPr>
          <w:rFonts w:hint="default" w:ascii="Times New Roman" w:hAnsi="Times New Roman" w:eastAsia="宋体" w:cs="Times New Roman"/>
          <w:sz w:val="28"/>
          <w:szCs w:val="28"/>
        </w:rPr>
        <w:t>场能自然排水，无地下水抽排，因此，只会对采石场周边+***m标高以上水资源有轻微的影响。矿山</w:t>
      </w:r>
      <w:r>
        <w:rPr>
          <w:rFonts w:hint="default" w:ascii="Times New Roman" w:hAnsi="Times New Roman" w:eastAsia="宋体" w:cs="Times New Roman"/>
          <w:sz w:val="28"/>
          <w:szCs w:val="28"/>
          <w:lang w:eastAsia="zh-CN"/>
        </w:rPr>
        <w:t>开采</w:t>
      </w:r>
      <w:r>
        <w:rPr>
          <w:rFonts w:hint="default" w:ascii="Times New Roman" w:hAnsi="Times New Roman" w:eastAsia="宋体" w:cs="Times New Roman"/>
          <w:sz w:val="28"/>
          <w:szCs w:val="28"/>
        </w:rPr>
        <w:t>所形成的开挖面仍</w:t>
      </w:r>
      <w:r>
        <w:rPr>
          <w:rFonts w:hint="default" w:ascii="Times New Roman" w:hAnsi="Times New Roman" w:eastAsia="宋体" w:cs="Times New Roman"/>
          <w:sz w:val="28"/>
          <w:szCs w:val="28"/>
          <w:lang w:eastAsia="zh-CN"/>
        </w:rPr>
        <w:t>可作为</w:t>
      </w:r>
      <w:r>
        <w:rPr>
          <w:rFonts w:hint="default" w:ascii="Times New Roman" w:hAnsi="Times New Roman" w:eastAsia="宋体" w:cs="Times New Roman"/>
          <w:sz w:val="28"/>
          <w:szCs w:val="28"/>
        </w:rPr>
        <w:t>含水层的补给区。未来采矿对地下水资源枯竭影响较轻。</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（2）地下水均衡影响较轻</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未来矿场充水主要来自大气降水，且为</w:t>
      </w:r>
      <w:r>
        <w:rPr>
          <w:rFonts w:hint="default" w:ascii="Times New Roman" w:hAnsi="Times New Roman" w:eastAsia="宋体" w:cs="Times New Roman"/>
          <w:sz w:val="28"/>
          <w:szCs w:val="28"/>
          <w:lang w:eastAsia="zh-CN"/>
        </w:rPr>
        <w:t>露天开采</w:t>
      </w:r>
      <w:r>
        <w:rPr>
          <w:rFonts w:hint="default" w:ascii="Times New Roman" w:hAnsi="Times New Roman" w:eastAsia="宋体" w:cs="Times New Roman"/>
          <w:sz w:val="28"/>
          <w:szCs w:val="28"/>
        </w:rPr>
        <w:t>，仅对+***m以上范围内含水层存在轻微的破坏影响，且面积较小，不会影响区域地下水。</w:t>
      </w:r>
    </w:p>
    <w:p>
      <w:pPr>
        <w:spacing w:line="360" w:lineRule="auto"/>
        <w:ind w:firstLine="560" w:firstLineChars="20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rPr>
        <w:t>矿区最低开采标高为+***m，未来矿业活动所揭露地下含水层主要为第四系残坡积层和风化裂隙水含水层，其赋水性弱，未来矿山开采对地下水资源影响较小，不会造成地下水水位超常下降，也不会引起区域地下水失衡</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未来采矿对地下水均衡破坏影响较轻。</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（3）对地表水漏失影响趋势</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区内地表水体一般发育，矿山开采范围位于侵蚀基准面以上的山坡和山顶，开发利用方案设计最低开采标高+***m，高于周边。因此，矿山未来开采对地表水漏失不会产生影响。</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矿区西南侧</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南侧各</w:t>
      </w:r>
      <w:r>
        <w:rPr>
          <w:rFonts w:hint="default" w:ascii="Times New Roman" w:hAnsi="Times New Roman" w:eastAsia="宋体" w:cs="Times New Roman"/>
          <w:sz w:val="28"/>
          <w:szCs w:val="28"/>
        </w:rPr>
        <w:t>有一座水库、周边有数座小水塘，最低开采标高高于水库水塘水体水面，且花岗岩</w:t>
      </w:r>
      <w:r>
        <w:rPr>
          <w:rFonts w:hint="eastAsia" w:ascii="Times New Roman" w:hAnsi="Times New Roman" w:eastAsia="宋体" w:cs="Times New Roman"/>
          <w:sz w:val="28"/>
          <w:szCs w:val="28"/>
          <w:lang w:val="en-US" w:eastAsia="zh-CN"/>
        </w:rPr>
        <w:t>渗透性差</w:t>
      </w:r>
      <w:r>
        <w:rPr>
          <w:rFonts w:hint="default" w:ascii="Times New Roman" w:hAnsi="Times New Roman" w:eastAsia="宋体" w:cs="Times New Roman"/>
          <w:sz w:val="28"/>
          <w:szCs w:val="28"/>
        </w:rPr>
        <w:t>，故不会引发水库渗漏及地表水漏失。</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2、水</w:t>
      </w:r>
      <w:r>
        <w:rPr>
          <w:rFonts w:hint="default" w:ascii="Times New Roman" w:hAnsi="Times New Roman" w:eastAsia="宋体" w:cs="Times New Roman"/>
          <w:b/>
          <w:sz w:val="28"/>
          <w:szCs w:val="28"/>
          <w:lang w:val="en-US" w:eastAsia="zh-CN"/>
        </w:rPr>
        <w:t>生态</w:t>
      </w:r>
      <w:r>
        <w:rPr>
          <w:rFonts w:hint="default" w:ascii="Times New Roman" w:hAnsi="Times New Roman" w:eastAsia="宋体" w:cs="Times New Roman"/>
          <w:b/>
          <w:sz w:val="28"/>
          <w:szCs w:val="28"/>
        </w:rPr>
        <w:t>影响趋势</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矿区采用露天开采方式，矿坑排水主要为大气降水形成的采坑水，其所含有害成分很低，不会对水质造成污染，对地表水的影响表现为浑浊，故未来矿山活动对地表水环境影响较轻。</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矿区最低开采标高高于当地侵蚀基准面，且花岗岩为隔水层，缺少与地下含水层的连通渠道，对地下水扰动较小，更不会破坏地下水环境，故未来矿山活动对地下水环境影响较轻。</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（三）矿山关闭后对水资源水生态影响</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未来矿山关闭后，当地降水充沛，开采期间对水生态的影响将得到自然恢复，因此矿山关闭后对水生态影响较小。</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未来矿山关闭后，不再进行采矿活动，不会对水环境造成影响。矿山在开采期间遵循“边开采，边修复”的原则，闭坑后植被恢复，因此矿山关闭后对水环境影响较小。</w:t>
      </w:r>
    </w:p>
    <w:p>
      <w:pPr>
        <w:pStyle w:val="3"/>
        <w:rPr>
          <w:rFonts w:hint="default" w:ascii="Times New Roman" w:hAnsi="Times New Roman" w:eastAsia="宋体" w:cs="Times New Roman"/>
        </w:rPr>
      </w:pPr>
      <w:bookmarkStart w:id="15" w:name="_Toc155772668"/>
      <w:r>
        <w:rPr>
          <w:rFonts w:hint="default" w:ascii="Times New Roman" w:hAnsi="Times New Roman" w:eastAsia="宋体" w:cs="Times New Roman"/>
        </w:rPr>
        <w:t>四、矿山地质灾害影响</w:t>
      </w:r>
      <w:bookmarkEnd w:id="15"/>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（一）矿山地质灾害影响现状</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现场调查，区内未发生过崩塌、滑坡、泥（废）石流等各类地质灾害。</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（二）矿山地质灾害影响预测</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山地质灾害预测评估包括：矿业活动引发、加剧的地质灾害和矿山建设可能遭受的地质灾害三个方面，现状矿山未发生过各类地质灾害，不存在加剧地质灾害的危险性。矿业活动遭受及引发的地质灾害具体如下：</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1、引发崩塌、滑坡的可能性预测</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未来矿山矿业活动集中于矿坑附近，虽然花岗岩矿体自身工程地质条件良好，但未来采矿形成的终采坡面较陡，且高差较大，受爆破作业的影响，采坑上部容易形成孤石和松动岩土体，这些孤石和松动的岩土体有可能会发生崩塌、滑坡等地质灾害。</w:t>
      </w:r>
    </w:p>
    <w:p>
      <w:pPr>
        <w:spacing w:line="360" w:lineRule="auto"/>
        <w:ind w:firstLine="560" w:firstLineChars="20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rPr>
        <w:t>矿山开采方式为露天开采，未来采场最大边坡高度达88m，高度较大，且采场边坡由上覆第四系残坡积、全风化花岗岩、中风化花岗岩及花岗岩组成，其稳固性较差，抗变形能力较差，在暴雨等因素的诱发下可能发生崩塌、滑坡等地质灾害</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威胁边坡下方作业的机械设备及人员。</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依据《地质灾害危险性评估规范》GB/T 40112-2021有关规定，根据</w:t>
      </w:r>
      <w:r>
        <w:rPr>
          <w:rFonts w:hint="eastAsia" w:ascii="Times New Roman" w:hAnsi="Times New Roman" w:eastAsia="宋体" w:cs="Times New Roman"/>
          <w:sz w:val="28"/>
          <w:szCs w:val="28"/>
          <w:lang w:val="en-US" w:eastAsia="zh-CN"/>
        </w:rPr>
        <w:t>修复区</w:t>
      </w:r>
      <w:r>
        <w:rPr>
          <w:rFonts w:hint="default" w:ascii="Times New Roman" w:hAnsi="Times New Roman" w:eastAsia="宋体" w:cs="Times New Roman"/>
          <w:sz w:val="28"/>
          <w:szCs w:val="28"/>
          <w:lang w:val="en-US" w:eastAsia="zh-CN"/>
        </w:rPr>
        <w:t>地形地貌、地层岩性、岩土体工程地质条件、水文地质条件等地质环境条件，结合用地性质特点，采用成因历史分析法和类比法对地质灾害危险性进行定性、半定量预测评估。预测</w:t>
      </w:r>
      <w:r>
        <w:rPr>
          <w:rFonts w:hint="eastAsia" w:ascii="Times New Roman" w:hAnsi="Times New Roman" w:eastAsia="宋体" w:cs="Times New Roman"/>
          <w:sz w:val="28"/>
          <w:szCs w:val="28"/>
          <w:lang w:val="en-US" w:eastAsia="zh-CN"/>
        </w:rPr>
        <w:t>矿业活动</w:t>
      </w:r>
      <w:r>
        <w:rPr>
          <w:rFonts w:hint="default" w:ascii="Times New Roman" w:hAnsi="Times New Roman" w:eastAsia="宋体" w:cs="Times New Roman"/>
          <w:sz w:val="28"/>
          <w:szCs w:val="28"/>
          <w:lang w:val="en-US" w:eastAsia="zh-CN"/>
        </w:rPr>
        <w:t>引发滑坡</w:t>
      </w:r>
      <w:r>
        <w:rPr>
          <w:rFonts w:hint="eastAsia" w:ascii="Times New Roman" w:hAnsi="Times New Roman" w:eastAsia="宋体" w:cs="Times New Roman"/>
          <w:sz w:val="28"/>
          <w:szCs w:val="28"/>
          <w:lang w:val="en-US" w:eastAsia="zh-CN"/>
        </w:rPr>
        <w:t>和崩塌</w:t>
      </w:r>
      <w:r>
        <w:rPr>
          <w:rFonts w:hint="default" w:ascii="Times New Roman" w:hAnsi="Times New Roman" w:eastAsia="宋体" w:cs="Times New Roman"/>
          <w:sz w:val="28"/>
          <w:szCs w:val="28"/>
          <w:lang w:val="en-US" w:eastAsia="zh-CN"/>
        </w:rPr>
        <w:t>地质灾害可能性中等，危害程度中等，危险性中等。</w:t>
      </w:r>
    </w:p>
    <w:p>
      <w:pPr>
        <w:spacing w:line="360" w:lineRule="auto"/>
        <w:ind w:firstLine="560" w:firstLineChars="200"/>
        <w:rPr>
          <w:rFonts w:hint="default" w:ascii="Times New Roman" w:hAnsi="Times New Roman" w:eastAsia="宋体" w:cs="Times New Roman"/>
          <w:sz w:val="28"/>
          <w:szCs w:val="28"/>
          <w:lang w:val="en-US" w:eastAsia="zh-CN"/>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360" w:lineRule="auto"/>
        <w:rPr>
          <w:rFonts w:hint="default" w:ascii="Times New Roman" w:hAnsi="Times New Roman" w:eastAsia="宋体" w:cs="Times New Roman"/>
          <w:sz w:val="28"/>
          <w:szCs w:val="28"/>
          <w:lang w:val="en-US" w:eastAsia="zh-CN"/>
        </w:rPr>
      </w:pPr>
    </w:p>
    <w:p>
      <w:pPr>
        <w:spacing w:line="360" w:lineRule="auto"/>
        <w:ind w:firstLine="482" w:firstLineChars="200"/>
        <w:jc w:val="center"/>
        <w:rPr>
          <w:rFonts w:hint="default" w:ascii="Times New Roman" w:hAnsi="Times New Roman" w:eastAsia="宋体" w:cs="Times New Roman"/>
          <w:b/>
          <w:sz w:val="24"/>
          <w:szCs w:val="24"/>
          <w:lang w:val="en-US" w:eastAsia="zh-CN"/>
        </w:rPr>
        <w:sectPr>
          <w:pgSz w:w="23811" w:h="16838"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eastAsia="宋体" w:cs="Times New Roman"/>
          <w:b/>
          <w:sz w:val="24"/>
          <w:szCs w:val="24"/>
          <w:lang w:val="en-US" w:eastAsia="zh-CN"/>
        </w:rPr>
        <w:t>图3-1 露采场边坡滑坡地质灾害分析剖面图</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2、引发泥石流地质灾害的可能性预测</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矿区总体属平缓的丘陵地貌，局部起伏比较大。生态修复区总体地势南高北低，最高点为矿区西南部的山包，海拔+***m，最低为东北部的农田一带，最低海拔约+***m（可视为当地的最低侵蚀基准面）。区内的最大相对高差***m，一般相对高差50m左右。地形切割深度各处不一，山体呈圆锥状，山顶半浑圆状，坡面一般为***～***°，局部地段最大约***°。矿区内构造较简单，主要表现为节理裂隙。总体来说矿区无高差大，流程长的冲沟分布，不具备发生泥石流的地形条件。</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矿区地势有一定落差自然排水通畅，不易淤积阻塞，因此也不具备发生泥石流的水源条件。</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本次设计，矿山的排土场位于矿区东部露采场边缘，未来会形成大量松散堆积物，但是其上游的汇水面积很小，无法形成泥石流的巨大水量和动能，因此即使矿区有松散堆积物，也没有发生泥石流的必要条件。</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总体来说，矿区不具备发生泥石流的地形条件、水源条件。虽然未来会形成大量松散堆积物，但是其上游的汇水面积很小，也不会引发泥石流地质灾害。</w:t>
      </w:r>
    </w:p>
    <w:p>
      <w:pPr>
        <w:pStyle w:val="3"/>
        <w:rPr>
          <w:rFonts w:hint="default" w:ascii="Times New Roman" w:hAnsi="Times New Roman" w:eastAsia="宋体" w:cs="Times New Roman"/>
        </w:rPr>
      </w:pPr>
      <w:bookmarkStart w:id="16" w:name="_Toc155772669"/>
      <w:r>
        <w:rPr>
          <w:rFonts w:hint="default" w:ascii="Times New Roman" w:hAnsi="Times New Roman" w:eastAsia="宋体" w:cs="Times New Roman"/>
        </w:rPr>
        <w:t>五、生物多样性破坏</w:t>
      </w:r>
      <w:bookmarkEnd w:id="16"/>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目前矿山还未进行开采活动，暂未对生物多样性产生破坏。在未来矿山进行矿业活动时，对原有植物的破坏、对土壤的扰动、对野生动物及土壤生物生境的干扰较大，另外矿山建设对周边的土体原有自然结构和水体循环路径造成破坏，从而改变物种的栖息地。矿山开采期间，开山放炮（露天开采矿）产生的噪声、粉尘、矿渣氧化淋滤产生的废水、运输过程中产生的废气和噪声、矿区生活垃圾以及机械振动噪音等都会使生物栖息的生态环境（空气、水、土壤）逐渐恶化，引起生物发育不良，繁殖机能减退，抗病能力下降，从而造成种群数量减少。但矿山遵循“边生产、边修复”的原则，会逐步恢复矿区生态环境，生物多样性也会逐步恢复。</w:t>
      </w:r>
    </w:p>
    <w:p>
      <w:pPr>
        <w:spacing w:line="360" w:lineRule="auto"/>
        <w:ind w:firstLine="560" w:firstLineChars="200"/>
        <w:rPr>
          <w:rFonts w:hint="default" w:ascii="Times New Roman" w:hAnsi="Times New Roman" w:eastAsia="宋体" w:cs="Times New Roman"/>
          <w:color w:val="FF0000"/>
          <w:sz w:val="28"/>
          <w:szCs w:val="28"/>
        </w:rPr>
      </w:pPr>
      <w:r>
        <w:rPr>
          <w:rFonts w:hint="default" w:ascii="Times New Roman" w:hAnsi="Times New Roman" w:eastAsia="宋体" w:cs="Times New Roman"/>
          <w:sz w:val="28"/>
          <w:szCs w:val="28"/>
        </w:rPr>
        <w:t>综上所述，现状及未来，矿业活动对区内生物多样性破坏影响均较轻。</w:t>
      </w:r>
    </w:p>
    <w:p>
      <w:pPr>
        <w:widowControl/>
        <w:jc w:val="left"/>
        <w:rPr>
          <w:rFonts w:hint="default" w:ascii="Times New Roman" w:hAnsi="Times New Roman" w:eastAsia="宋体" w:cs="Times New Roman"/>
          <w:color w:val="FF0000"/>
          <w:sz w:val="28"/>
          <w:szCs w:val="28"/>
        </w:rPr>
      </w:pPr>
      <w:r>
        <w:rPr>
          <w:rFonts w:hint="default" w:ascii="Times New Roman" w:hAnsi="Times New Roman" w:eastAsia="宋体" w:cs="Times New Roman"/>
          <w:color w:val="FF0000"/>
          <w:sz w:val="28"/>
          <w:szCs w:val="28"/>
        </w:rPr>
        <w:br w:type="page"/>
      </w:r>
    </w:p>
    <w:p>
      <w:pPr>
        <w:pStyle w:val="2"/>
        <w:numPr>
          <w:ilvl w:val="0"/>
          <w:numId w:val="1"/>
        </w:numPr>
        <w:jc w:val="center"/>
        <w:rPr>
          <w:rFonts w:hint="default" w:ascii="Times New Roman" w:hAnsi="Times New Roman" w:eastAsia="黑体" w:cs="Times New Roman"/>
        </w:rPr>
      </w:pPr>
      <w:bookmarkStart w:id="17" w:name="_Toc155772670"/>
      <w:r>
        <w:rPr>
          <w:rFonts w:hint="default" w:ascii="Times New Roman" w:hAnsi="Times New Roman" w:eastAsia="黑体" w:cs="Times New Roman"/>
        </w:rPr>
        <w:t>生态保护修复工程部署</w:t>
      </w:r>
      <w:bookmarkEnd w:id="17"/>
    </w:p>
    <w:p>
      <w:pPr>
        <w:pStyle w:val="3"/>
        <w:rPr>
          <w:rFonts w:hint="default" w:ascii="Times New Roman" w:hAnsi="Times New Roman" w:eastAsia="宋体" w:cs="Times New Roman"/>
        </w:rPr>
      </w:pPr>
      <w:bookmarkStart w:id="18" w:name="_Toc155772671"/>
      <w:r>
        <w:rPr>
          <w:rFonts w:hint="default" w:ascii="Times New Roman" w:hAnsi="Times New Roman" w:eastAsia="宋体" w:cs="Times New Roman"/>
        </w:rPr>
        <w:t>一、</w:t>
      </w:r>
      <w:r>
        <w:rPr>
          <w:rFonts w:hint="default" w:ascii="Times New Roman" w:hAnsi="Times New Roman" w:eastAsia="宋体" w:cs="Times New Roman"/>
        </w:rPr>
        <w:tab/>
      </w:r>
      <w:r>
        <w:rPr>
          <w:rFonts w:hint="default" w:ascii="Times New Roman" w:hAnsi="Times New Roman" w:eastAsia="宋体" w:cs="Times New Roman"/>
        </w:rPr>
        <w:t>生态保护修复工程部署思路</w:t>
      </w:r>
      <w:bookmarkEnd w:id="18"/>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贯彻创新、协调、绿色、开放、共享的发展理念</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遵循因矿制宜的原则，实现矿产资源开发全过程的资源利用、节能减排、环境保护、土地复垦、企业文化和企地和谐等统筹兼顾和全面发展。以人为本</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保护职工身体健康，预防、控制和消除职业病危害，并构建和谐社区。</w:t>
      </w:r>
    </w:p>
    <w:p>
      <w:pPr>
        <w:spacing w:line="360" w:lineRule="auto"/>
        <w:ind w:firstLine="560" w:firstLineChars="200"/>
        <w:rPr>
          <w:rFonts w:hint="default" w:ascii="Times New Roman" w:hAnsi="Times New Roman" w:eastAsia="宋体" w:cs="Times New Roman"/>
          <w:sz w:val="28"/>
          <w:szCs w:val="28"/>
        </w:rPr>
      </w:pPr>
      <w:r>
        <w:rPr>
          <w:rFonts w:hint="eastAsia" w:ascii="Times New Roman" w:hAnsi="Times New Roman" w:eastAsia="宋体" w:cs="Times New Roman"/>
          <w:sz w:val="28"/>
          <w:szCs w:val="28"/>
          <w:lang w:val="en-US" w:eastAsia="zh-CN"/>
        </w:rPr>
        <w:t>矿山设计、建设、生产和闭坑全过程按照绿色矿山的要求实施绿色矿山建设。</w:t>
      </w:r>
      <w:r>
        <w:rPr>
          <w:rFonts w:hint="default" w:ascii="Times New Roman" w:hAnsi="Times New Roman" w:eastAsia="宋体" w:cs="Times New Roman"/>
          <w:sz w:val="28"/>
          <w:szCs w:val="28"/>
          <w:lang w:val="en-US" w:eastAsia="zh-CN"/>
        </w:rPr>
        <w:t>结合矿区地形地貌、地理位置、土壤条件、交通条件，并广泛征求当地政府、民众意见，因地制宜，以不破坏局部生态系统的生态功能为前提，特提出以下生态修复具体工程部署思路。</w:t>
      </w:r>
    </w:p>
    <w:p>
      <w:pPr>
        <w:spacing w:line="360" w:lineRule="auto"/>
        <w:ind w:firstLine="562" w:firstLineChars="200"/>
        <w:rPr>
          <w:rFonts w:hint="default" w:ascii="Times New Roman" w:hAnsi="Times New Roman" w:eastAsia="宋体" w:cs="Times New Roman"/>
          <w:b/>
          <w:sz w:val="28"/>
          <w:szCs w:val="28"/>
          <w:lang w:val="en-US"/>
        </w:rPr>
      </w:pPr>
      <w:r>
        <w:rPr>
          <w:rFonts w:hint="default" w:ascii="Times New Roman" w:hAnsi="Times New Roman" w:eastAsia="宋体" w:cs="Times New Roman"/>
          <w:b/>
          <w:sz w:val="28"/>
          <w:szCs w:val="28"/>
          <w:lang w:val="en-US" w:eastAsia="zh-CN"/>
        </w:rPr>
        <w:t>（一）地形地貌景观</w:t>
      </w:r>
      <w:r>
        <w:rPr>
          <w:rFonts w:hint="eastAsia" w:ascii="Times New Roman" w:hAnsi="Times New Roman" w:eastAsia="宋体" w:cs="Times New Roman"/>
          <w:b/>
          <w:sz w:val="28"/>
          <w:szCs w:val="28"/>
          <w:lang w:val="en-US" w:eastAsia="zh-CN"/>
        </w:rPr>
        <w:t>修复思路</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地形地貌景观破坏主要表现为矿山露采场、工业广场、矿山道路及排土场造成山体破损、岩石裸露及植被破坏等，露采场修复思路是：在斜坡中部的安全平台和清扫平台内外侧</w:t>
      </w:r>
      <w:r>
        <w:rPr>
          <w:rFonts w:hint="eastAsia" w:ascii="Times New Roman" w:hAnsi="Times New Roman" w:eastAsia="宋体" w:cs="Times New Roman"/>
          <w:sz w:val="28"/>
          <w:szCs w:val="28"/>
          <w:lang w:val="en-US" w:eastAsia="zh-CN"/>
        </w:rPr>
        <w:t>砌筑格宾挡土墙</w:t>
      </w:r>
      <w:r>
        <w:rPr>
          <w:rFonts w:hint="default" w:ascii="Times New Roman" w:hAnsi="Times New Roman" w:eastAsia="宋体" w:cs="Times New Roman"/>
          <w:sz w:val="28"/>
          <w:szCs w:val="28"/>
          <w:lang w:val="en-US" w:eastAsia="zh-CN"/>
        </w:rPr>
        <w:t>，斜坡底部内侧留设排水沟，平台内外侧栽种爬藤植物，中间覆土栽种灌木。在终了平台上覆土，</w:t>
      </w:r>
      <w:r>
        <w:rPr>
          <w:rFonts w:hint="eastAsia" w:ascii="Times New Roman" w:hAnsi="Times New Roman" w:eastAsia="宋体" w:cs="Times New Roman"/>
          <w:sz w:val="28"/>
          <w:szCs w:val="28"/>
          <w:lang w:val="en-US" w:eastAsia="zh-CN"/>
        </w:rPr>
        <w:t>乔灌草结合恢复林地</w:t>
      </w:r>
      <w:r>
        <w:rPr>
          <w:rFonts w:hint="default" w:ascii="Times New Roman" w:hAnsi="Times New Roman" w:eastAsia="宋体" w:cs="Times New Roman"/>
          <w:sz w:val="28"/>
          <w:szCs w:val="28"/>
          <w:lang w:val="en-US" w:eastAsia="zh-CN"/>
        </w:rPr>
        <w:t>，修建</w:t>
      </w:r>
      <w:r>
        <w:rPr>
          <w:rFonts w:hint="eastAsia" w:ascii="Times New Roman" w:hAnsi="Times New Roman" w:eastAsia="宋体" w:cs="Times New Roman"/>
          <w:sz w:val="28"/>
          <w:szCs w:val="28"/>
          <w:lang w:val="en-US" w:eastAsia="zh-CN"/>
        </w:rPr>
        <w:t>截（排）</w:t>
      </w:r>
      <w:r>
        <w:rPr>
          <w:rFonts w:hint="default" w:ascii="Times New Roman" w:hAnsi="Times New Roman" w:eastAsia="宋体" w:cs="Times New Roman"/>
          <w:sz w:val="28"/>
          <w:szCs w:val="28"/>
          <w:lang w:val="en-US" w:eastAsia="zh-CN"/>
        </w:rPr>
        <w:t>水沟。矿山道路和工业广场在使用过程中，及时做好绿化美化。矿山道路今后将保留作为农村道路及防火通道使用，不进行修复；排土场、工业广场使用后进行</w:t>
      </w:r>
      <w:r>
        <w:rPr>
          <w:rFonts w:hint="eastAsia" w:ascii="Times New Roman" w:hAnsi="Times New Roman" w:eastAsia="宋体" w:cs="Times New Roman"/>
          <w:sz w:val="28"/>
          <w:szCs w:val="28"/>
          <w:lang w:val="en-US" w:eastAsia="zh-CN"/>
        </w:rPr>
        <w:t>清理拆除、</w:t>
      </w:r>
      <w:r>
        <w:rPr>
          <w:rFonts w:hint="default" w:ascii="Times New Roman" w:hAnsi="Times New Roman" w:eastAsia="宋体" w:cs="Times New Roman"/>
          <w:sz w:val="28"/>
          <w:szCs w:val="28"/>
          <w:lang w:val="en-US" w:eastAsia="zh-CN"/>
        </w:rPr>
        <w:t>平整、</w:t>
      </w:r>
      <w:r>
        <w:rPr>
          <w:rFonts w:hint="eastAsia" w:ascii="Times New Roman" w:hAnsi="Times New Roman" w:eastAsia="宋体" w:cs="Times New Roman"/>
          <w:sz w:val="28"/>
          <w:szCs w:val="28"/>
          <w:lang w:val="en-US" w:eastAsia="zh-CN"/>
        </w:rPr>
        <w:t>乔灌草结合</w:t>
      </w:r>
      <w:r>
        <w:rPr>
          <w:rFonts w:hint="default" w:ascii="Times New Roman" w:hAnsi="Times New Roman" w:eastAsia="宋体" w:cs="Times New Roman"/>
          <w:sz w:val="28"/>
          <w:szCs w:val="28"/>
          <w:lang w:val="en-US" w:eastAsia="zh-CN"/>
        </w:rPr>
        <w:t>修复为林地。</w:t>
      </w:r>
    </w:p>
    <w:p>
      <w:pPr>
        <w:spacing w:line="360" w:lineRule="auto"/>
        <w:ind w:firstLine="562" w:firstLineChars="200"/>
        <w:rPr>
          <w:rFonts w:hint="default" w:ascii="Times New Roman" w:hAnsi="Times New Roman" w:eastAsia="宋体" w:cs="Times New Roman"/>
          <w:b/>
          <w:sz w:val="28"/>
          <w:szCs w:val="28"/>
          <w:lang w:val="en-US"/>
        </w:rPr>
      </w:pPr>
      <w:r>
        <w:rPr>
          <w:rFonts w:hint="default" w:ascii="Times New Roman" w:hAnsi="Times New Roman" w:eastAsia="宋体" w:cs="Times New Roman"/>
          <w:b/>
          <w:sz w:val="28"/>
          <w:szCs w:val="28"/>
          <w:lang w:val="en-US" w:eastAsia="zh-CN"/>
        </w:rPr>
        <w:t>（二）土地资源及土石环境</w:t>
      </w:r>
      <w:r>
        <w:rPr>
          <w:rFonts w:hint="eastAsia" w:ascii="Times New Roman" w:hAnsi="Times New Roman" w:eastAsia="宋体" w:cs="Times New Roman"/>
          <w:b/>
          <w:sz w:val="28"/>
          <w:szCs w:val="28"/>
          <w:lang w:val="en-US" w:eastAsia="zh-CN"/>
        </w:rPr>
        <w:t>修复思路</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土地资源占损及土石环境破坏主要表现为工业广场、露采场、排土场、矿山道路等的占损，矿山道路今后将保留使用，不进行修复；露采场、排土场及工业广场修复思路已在上述的地形地貌景观修复工程思路中进行了叙述。</w:t>
      </w:r>
    </w:p>
    <w:p>
      <w:pPr>
        <w:spacing w:line="360" w:lineRule="auto"/>
        <w:ind w:firstLine="562" w:firstLineChars="200"/>
        <w:rPr>
          <w:rFonts w:hint="default" w:ascii="Times New Roman" w:hAnsi="Times New Roman" w:eastAsia="宋体" w:cs="Times New Roman"/>
          <w:b/>
          <w:sz w:val="28"/>
          <w:szCs w:val="28"/>
          <w:lang w:val="en-US"/>
        </w:rPr>
      </w:pPr>
      <w:r>
        <w:rPr>
          <w:rFonts w:hint="default" w:ascii="Times New Roman" w:hAnsi="Times New Roman" w:eastAsia="宋体" w:cs="Times New Roman"/>
          <w:b/>
          <w:sz w:val="28"/>
          <w:szCs w:val="28"/>
          <w:lang w:val="en-US" w:eastAsia="zh-CN"/>
        </w:rPr>
        <w:t>（三）水资源水生态</w:t>
      </w:r>
      <w:r>
        <w:rPr>
          <w:rFonts w:hint="eastAsia" w:ascii="Times New Roman" w:hAnsi="Times New Roman" w:eastAsia="宋体" w:cs="Times New Roman"/>
          <w:b/>
          <w:sz w:val="28"/>
          <w:szCs w:val="28"/>
          <w:lang w:val="en-US" w:eastAsia="zh-CN"/>
        </w:rPr>
        <w:t>修复思路</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根据矿业活动对水资源水生态的破坏影响的现状和预测分析，矿业活动对水资源水生态影响较轻，矿坑水及流经工业广场、排土场的废水中主要携带物为泥砂，进行简单沉淀后即可排放。</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本方案对水资源水生态破坏修复思路</w:t>
      </w:r>
      <w:r>
        <w:rPr>
          <w:rFonts w:hint="eastAsia" w:ascii="Times New Roman" w:hAnsi="Times New Roman" w:eastAsia="宋体" w:cs="Times New Roman"/>
          <w:sz w:val="28"/>
          <w:szCs w:val="28"/>
          <w:lang w:val="en-US" w:eastAsia="zh-CN"/>
        </w:rPr>
        <w:t>主要</w:t>
      </w:r>
      <w:r>
        <w:rPr>
          <w:rFonts w:hint="default" w:ascii="Times New Roman" w:hAnsi="Times New Roman" w:eastAsia="宋体" w:cs="Times New Roman"/>
          <w:sz w:val="28"/>
          <w:szCs w:val="28"/>
          <w:lang w:val="en-US" w:eastAsia="zh-CN"/>
        </w:rPr>
        <w:t>是布设截水沟、沉淀池，使露采场、工业广场和排土场内的积水能自流排泄。</w:t>
      </w:r>
    </w:p>
    <w:p>
      <w:pPr>
        <w:spacing w:line="360" w:lineRule="auto"/>
        <w:ind w:firstLine="562" w:firstLineChars="200"/>
        <w:rPr>
          <w:rFonts w:hint="default" w:ascii="Times New Roman" w:hAnsi="Times New Roman" w:eastAsia="宋体" w:cs="Times New Roman"/>
          <w:b/>
          <w:sz w:val="28"/>
          <w:szCs w:val="28"/>
          <w:lang w:val="en-US"/>
        </w:rPr>
      </w:pPr>
      <w:r>
        <w:rPr>
          <w:rFonts w:hint="default" w:ascii="Times New Roman" w:hAnsi="Times New Roman" w:eastAsia="宋体" w:cs="Times New Roman"/>
          <w:b/>
          <w:sz w:val="28"/>
          <w:szCs w:val="28"/>
          <w:lang w:val="en-US" w:eastAsia="zh-CN"/>
        </w:rPr>
        <w:t>（四）矿山地质灾害</w:t>
      </w:r>
      <w:r>
        <w:rPr>
          <w:rFonts w:hint="eastAsia" w:ascii="Times New Roman" w:hAnsi="Times New Roman" w:eastAsia="宋体" w:cs="Times New Roman"/>
          <w:b/>
          <w:sz w:val="28"/>
          <w:szCs w:val="28"/>
          <w:lang w:val="en-US" w:eastAsia="zh-CN"/>
        </w:rPr>
        <w:t>修复思路</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根据矿业活动引发矿山地质灾害活动的现状和预测分析，预测分析露采场及排土场边坡引发崩塌、滑坡地质灾害的可能性中等。其修复思路是：露采场边坡在开采时是一个动态的，因此在开采时要加强监测，严格按设计的边坡参数进行开采，在局部不稳定边坡预留拦挡工程措施费用，闭采后清理边坡上松动的岩土层，对边坡进行复绿；排土场边坡主要位于南东角的豁口处，在前缘修建挡墙、上方修建截水沟。</w:t>
      </w:r>
    </w:p>
    <w:p>
      <w:pPr>
        <w:spacing w:line="360" w:lineRule="auto"/>
        <w:ind w:firstLine="562" w:firstLineChars="200"/>
        <w:rPr>
          <w:rFonts w:hint="default" w:ascii="Times New Roman" w:hAnsi="Times New Roman" w:eastAsia="宋体" w:cs="Times New Roman"/>
          <w:b/>
          <w:sz w:val="28"/>
          <w:szCs w:val="28"/>
          <w:lang w:val="en-US"/>
        </w:rPr>
      </w:pPr>
      <w:r>
        <w:rPr>
          <w:rFonts w:hint="default" w:ascii="Times New Roman" w:hAnsi="Times New Roman" w:eastAsia="宋体" w:cs="Times New Roman"/>
          <w:b/>
          <w:sz w:val="28"/>
          <w:szCs w:val="28"/>
          <w:lang w:val="en-US" w:eastAsia="zh-CN"/>
        </w:rPr>
        <w:t>（五）生物多样性</w:t>
      </w:r>
      <w:r>
        <w:rPr>
          <w:rFonts w:hint="eastAsia" w:ascii="Times New Roman" w:hAnsi="Times New Roman" w:eastAsia="宋体" w:cs="Times New Roman"/>
          <w:b/>
          <w:sz w:val="28"/>
          <w:szCs w:val="28"/>
          <w:lang w:val="en-US" w:eastAsia="zh-CN"/>
        </w:rPr>
        <w:t>修复思路</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矿山开采规模小，对生物多样性破坏影响程度轻，其修复思路是：加强宣传和教育，树立宣传警示标牌，严禁乱伐林木、捕杀野生动物。</w:t>
      </w:r>
    </w:p>
    <w:p>
      <w:pPr>
        <w:pStyle w:val="3"/>
        <w:rPr>
          <w:rFonts w:hint="default" w:ascii="Times New Roman" w:hAnsi="Times New Roman" w:eastAsia="宋体" w:cs="Times New Roman"/>
        </w:rPr>
      </w:pPr>
      <w:bookmarkStart w:id="19" w:name="_Toc155772672"/>
      <w:r>
        <w:rPr>
          <w:rFonts w:hint="default" w:ascii="Times New Roman" w:hAnsi="Times New Roman" w:eastAsia="宋体" w:cs="Times New Roman"/>
        </w:rPr>
        <w:t>二、生态保护修复目标</w:t>
      </w:r>
      <w:bookmarkEnd w:id="19"/>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根据矿山生态问题识别和诊断结果，本次采取对破坏面进行覆土复绿修复+</w:t>
      </w:r>
      <w:r>
        <w:rPr>
          <w:rFonts w:hint="default" w:ascii="Times New Roman" w:hAnsi="Times New Roman" w:eastAsia="宋体" w:cs="Times New Roman"/>
          <w:sz w:val="28"/>
          <w:szCs w:val="28"/>
          <w:lang w:eastAsia="zh-CN"/>
        </w:rPr>
        <w:t>截水沟</w:t>
      </w:r>
      <w:r>
        <w:rPr>
          <w:rFonts w:hint="default" w:ascii="Times New Roman" w:hAnsi="Times New Roman" w:eastAsia="宋体" w:cs="Times New Roman"/>
          <w:sz w:val="28"/>
          <w:szCs w:val="28"/>
        </w:rPr>
        <w:t>+安全防护工程进行矿山生态问题保护与修复治理工程：</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（一）总体目标</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坚持生态优先，最大限度</w:t>
      </w:r>
      <w:r>
        <w:rPr>
          <w:rFonts w:hint="default" w:ascii="Times New Roman" w:hAnsi="Times New Roman" w:eastAsia="宋体" w:cs="Times New Roman"/>
          <w:sz w:val="28"/>
          <w:szCs w:val="28"/>
          <w:lang w:eastAsia="zh-CN"/>
        </w:rPr>
        <w:t>地</w:t>
      </w:r>
      <w:r>
        <w:rPr>
          <w:rFonts w:hint="default" w:ascii="Times New Roman" w:hAnsi="Times New Roman" w:eastAsia="宋体" w:cs="Times New Roman"/>
          <w:sz w:val="28"/>
          <w:szCs w:val="28"/>
        </w:rPr>
        <w:t>避免、减轻因矿山开采造成的问题，减少对土地资源的影响和破坏，减轻对地质环境的影响，</w:t>
      </w:r>
      <w:r>
        <w:rPr>
          <w:rFonts w:hint="eastAsia" w:ascii="Times New Roman" w:hAnsi="Times New Roman" w:eastAsia="宋体" w:cs="Times New Roman"/>
          <w:sz w:val="28"/>
          <w:szCs w:val="28"/>
          <w:lang w:val="en-US" w:eastAsia="zh-CN"/>
        </w:rPr>
        <w:t>建设绿色矿山，</w:t>
      </w:r>
      <w:r>
        <w:rPr>
          <w:rFonts w:hint="default" w:ascii="Times New Roman" w:hAnsi="Times New Roman" w:eastAsia="宋体" w:cs="Times New Roman"/>
          <w:sz w:val="28"/>
          <w:szCs w:val="28"/>
        </w:rPr>
        <w:t>实现资源开发与生态环境相协调，促进矿山企业健康可持续发展。</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严格按照“因地制宜、边开采边治理”的原则，及时实施矿山生态保护修复工程，最大化消除灾害安全隐患，恢复土地基本功能，矿山实现土地可复垦率、终了边坡治理率达100%，最终达到绿色矿山建设要求。</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（二）生态保护保育目标</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据调查，矿区不在水源涵养区、生态公益林区和野生动物栖息地和觅食通道内，区内无具有重要科普意义的矿山开采遗迹、地质遗迹等地；因此，矿山生态保护保育目标为：加强员工与周边群众对生物多样性保护意识教育，达到杜绝乱伐林木、捕杀野生动物的不法行为。</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（三）生态修复目标</w:t>
      </w:r>
    </w:p>
    <w:p>
      <w:pPr>
        <w:spacing w:line="360" w:lineRule="auto"/>
        <w:ind w:firstLine="562" w:firstLineChars="2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1、地形地貌景观破坏修复目标</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生产期间，矿山建设场地区及矿山公路范围内可绿化面积达到100</w:t>
      </w:r>
      <w:r>
        <w:rPr>
          <w:rFonts w:hint="default"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从而消除因减轻或破坏而分散的非绿色节点对地形地貌景观负面影响。</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闭采后，实现矿山全面修复复垦，复垦率须达到100</w:t>
      </w:r>
      <w:r>
        <w:rPr>
          <w:rFonts w:hint="default"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从而达到全面恢复矿区地形地貌景观的目的。</w:t>
      </w:r>
    </w:p>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lang w:val="en-US" w:eastAsia="zh-CN"/>
        </w:rPr>
        <w:t>2、</w:t>
      </w:r>
      <w:r>
        <w:rPr>
          <w:rFonts w:hint="default" w:ascii="Times New Roman" w:hAnsi="Times New Roman" w:eastAsia="宋体" w:cs="Times New Roman"/>
          <w:b/>
          <w:bCs/>
          <w:sz w:val="28"/>
          <w:szCs w:val="28"/>
        </w:rPr>
        <w:t>土地复垦与生物多样性恢复目标</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生产期间，及时完成不再开采利用地段的复垦并有效管护，使可绿化面积绿化率达到100%，消除非绿色节点对地形地貌景观负面影响；闭采后，实现矿山全面修复复垦。根据前述的矿业活动对土地资源的占损预测分析，预测矿业活动</w:t>
      </w:r>
      <w:r>
        <w:rPr>
          <w:rFonts w:hint="eastAsia" w:ascii="Times New Roman" w:hAnsi="Times New Roman" w:eastAsia="宋体" w:cs="Times New Roman"/>
          <w:sz w:val="28"/>
          <w:szCs w:val="28"/>
          <w:lang w:val="en-US" w:eastAsia="zh-CN"/>
        </w:rPr>
        <w:t>拟损毁</w:t>
      </w:r>
      <w:r>
        <w:rPr>
          <w:rFonts w:hint="default" w:ascii="Times New Roman" w:hAnsi="Times New Roman" w:eastAsia="宋体" w:cs="Times New Roman"/>
          <w:sz w:val="28"/>
          <w:szCs w:val="28"/>
          <w:lang w:val="en-US" w:eastAsia="zh-CN"/>
        </w:rPr>
        <w:t>土地资源面积</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公顷，扣除今后要保留使用利用的矿山道路占地面积***公顷后，需修复面积为</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公顷。因此矿山须修复面积为***公顷，达到全面恢复矿区地形地貌景观、全面恢复矿区生物多样性的目标。</w:t>
      </w:r>
    </w:p>
    <w:p>
      <w:pPr>
        <w:spacing w:line="360" w:lineRule="auto"/>
        <w:ind w:firstLine="562" w:firstLineChars="2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3、水资源水生态修复与改善目标</w:t>
      </w:r>
    </w:p>
    <w:p>
      <w:pPr>
        <w:spacing w:line="360" w:lineRule="auto"/>
        <w:ind w:firstLine="560" w:firstLineChars="20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开采过程中，定期进行矿区水质（加工废水、地表水、地下水）监测，确保矿区水资源、水环境质量良好</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对露采场、工业广场、排土场淋滤水进行沉淀处理，实现矿山外排水得到100%达标处理；确保矿区水资源、水生态质量良好；</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修复与管护期内，定期进行矿区地表水水质监测。</w:t>
      </w:r>
    </w:p>
    <w:p>
      <w:pPr>
        <w:spacing w:line="360" w:lineRule="auto"/>
        <w:ind w:firstLine="562" w:firstLineChars="2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4、矿山地质灾害防治目标</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加强对采场边坡及排土场边坡的稳定性进行监测，开采时严格按设计方案进行开采，建立矿山地质灾害综合防治体系，采用坚持以防为主、防治结合的地质灾害防治思想，及时发现并消除开采过程中可能出现的地质灾害隐患，全面消除地质灾害安全隐患，确保矿山地质灾害事故零发生。</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（四）监测与后期管护目标</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为了保障生态修复复垦工程的质量，实现土地复垦科学化、规范化、标准化，改善工农关系，促进社会、经济全面发展，方案制订的修复复垦监测与后期管护目标如下：</w:t>
      </w:r>
    </w:p>
    <w:p>
      <w:pPr>
        <w:spacing w:line="360" w:lineRule="auto"/>
        <w:ind w:firstLine="562" w:firstLineChars="2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1、生态修复监测目标</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根据自然环境、生产建设项目自身特点及国家各类技术标准，制定生态修复监测方案（监测点、监测内容以及监测频率等布置或设置），采取科学的技术方法并合理优化，从而减少生产建设单位不必要的开支。</w:t>
      </w:r>
    </w:p>
    <w:p>
      <w:pPr>
        <w:spacing w:line="360" w:lineRule="auto"/>
        <w:ind w:firstLine="562" w:firstLineChars="2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2、后期管护目标</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根据地区的性质和气候、土壤、物化性能、土地利用等特点，制定生态修复后期植被保护及管理方案，保障土地再利用的生产率和集约程度提高，全面修复矿区生态环境、恢复</w:t>
      </w:r>
      <w:r>
        <w:rPr>
          <w:rFonts w:hint="eastAsia" w:ascii="Times New Roman" w:hAnsi="Times New Roman" w:eastAsia="宋体" w:cs="Times New Roman"/>
          <w:sz w:val="28"/>
          <w:szCs w:val="28"/>
          <w:lang w:val="en-US" w:eastAsia="zh-CN"/>
        </w:rPr>
        <w:t>水田和</w:t>
      </w:r>
      <w:r>
        <w:rPr>
          <w:rFonts w:hint="default" w:ascii="Times New Roman" w:hAnsi="Times New Roman" w:eastAsia="宋体" w:cs="Times New Roman"/>
          <w:sz w:val="28"/>
          <w:szCs w:val="28"/>
        </w:rPr>
        <w:t>林业生产条件，保持区域生态系统功能稳定。</w:t>
      </w:r>
    </w:p>
    <w:p>
      <w:pPr>
        <w:pStyle w:val="3"/>
        <w:rPr>
          <w:rFonts w:hint="default" w:ascii="Times New Roman" w:hAnsi="Times New Roman" w:eastAsia="宋体" w:cs="Times New Roman"/>
        </w:rPr>
      </w:pPr>
      <w:bookmarkStart w:id="20" w:name="_Toc155772673"/>
      <w:r>
        <w:rPr>
          <w:rFonts w:hint="default" w:ascii="Times New Roman" w:hAnsi="Times New Roman" w:eastAsia="宋体" w:cs="Times New Roman"/>
        </w:rPr>
        <w:t>三、生态保护修复工程及进度安排</w:t>
      </w:r>
      <w:bookmarkEnd w:id="20"/>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lang w:eastAsia="zh-CN"/>
        </w:rPr>
        <w:t>（</w:t>
      </w:r>
      <w:r>
        <w:rPr>
          <w:rFonts w:hint="default" w:ascii="Times New Roman" w:hAnsi="Times New Roman" w:eastAsia="宋体" w:cs="Times New Roman"/>
          <w:b/>
          <w:sz w:val="28"/>
          <w:szCs w:val="28"/>
          <w:lang w:val="en-US" w:eastAsia="zh-CN"/>
        </w:rPr>
        <w:t>一</w:t>
      </w:r>
      <w:r>
        <w:rPr>
          <w:rFonts w:hint="default" w:ascii="Times New Roman" w:hAnsi="Times New Roman" w:eastAsia="宋体" w:cs="Times New Roman"/>
          <w:b/>
          <w:sz w:val="28"/>
          <w:szCs w:val="28"/>
          <w:lang w:eastAsia="zh-CN"/>
        </w:rPr>
        <w:t>）</w:t>
      </w:r>
      <w:r>
        <w:rPr>
          <w:rFonts w:hint="default" w:ascii="Times New Roman" w:hAnsi="Times New Roman" w:eastAsia="宋体" w:cs="Times New Roman"/>
          <w:b/>
          <w:sz w:val="28"/>
          <w:szCs w:val="28"/>
        </w:rPr>
        <w:t>生态</w:t>
      </w:r>
      <w:r>
        <w:rPr>
          <w:rFonts w:hint="default" w:ascii="Times New Roman" w:hAnsi="Times New Roman" w:eastAsia="宋体" w:cs="Times New Roman"/>
          <w:b/>
          <w:sz w:val="28"/>
          <w:szCs w:val="28"/>
          <w:lang w:val="en-US" w:eastAsia="zh-CN"/>
        </w:rPr>
        <w:t>保护保育</w:t>
      </w:r>
      <w:r>
        <w:rPr>
          <w:rFonts w:hint="default" w:ascii="Times New Roman" w:hAnsi="Times New Roman" w:eastAsia="宋体" w:cs="Times New Roman"/>
          <w:b/>
          <w:sz w:val="28"/>
          <w:szCs w:val="28"/>
        </w:rPr>
        <w:t>工程</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本矿山区位条件不与“生态公益林”、各类“自然保护区”相邻，但矿山后续矿业活动应严格控制矿山建设工程计划用地，保护建设场地以外的生态环境，禁止非建设的乱砍滥伐、毁损植被和猎捕行为。将生态保护理念贯穿至矿山开采全生命周期。</w:t>
      </w:r>
    </w:p>
    <w:p>
      <w:pPr>
        <w:spacing w:line="360" w:lineRule="auto"/>
        <w:ind w:firstLine="560" w:firstLineChars="20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rPr>
        <w:t>矿山采矿作业、地面工程建设与矿业活动，可能影响地表植被正常生长、动物正常栖息，但基本不会造成某一物种的死亡灭绝，对当地生物多样性不会造成根本影响。</w:t>
      </w:r>
      <w:r>
        <w:rPr>
          <w:rFonts w:hint="default" w:ascii="Times New Roman" w:hAnsi="Times New Roman" w:eastAsia="宋体" w:cs="Times New Roman"/>
          <w:sz w:val="28"/>
          <w:szCs w:val="28"/>
          <w:lang w:val="en-US" w:eastAsia="zh-CN"/>
        </w:rPr>
        <w:t>矿区生产过程中加强矿山公路和工业广场的绿化美化，</w:t>
      </w:r>
      <w:r>
        <w:rPr>
          <w:rFonts w:hint="default" w:ascii="Times New Roman" w:hAnsi="Times New Roman" w:eastAsia="宋体" w:cs="Times New Roman"/>
          <w:sz w:val="28"/>
          <w:szCs w:val="28"/>
        </w:rPr>
        <w:t>应该积极宣传生物多样性保护政策法规，设立生态保护宣传、警示牌，禁止职工对地表植被、动物等生物资源肆意破坏</w:t>
      </w:r>
      <w:r>
        <w:rPr>
          <w:rFonts w:hint="default" w:ascii="Times New Roman" w:hAnsi="Times New Roman" w:eastAsia="宋体" w:cs="Times New Roman"/>
          <w:sz w:val="28"/>
          <w:szCs w:val="28"/>
          <w:lang w:eastAsia="zh-CN"/>
        </w:rPr>
        <w:t>。</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根据当地</w:t>
      </w:r>
      <w:r>
        <w:rPr>
          <w:rFonts w:hint="eastAsia" w:ascii="Times New Roman" w:hAnsi="Times New Roman" w:eastAsia="宋体" w:cs="Times New Roman"/>
          <w:sz w:val="28"/>
          <w:szCs w:val="28"/>
          <w:lang w:val="en-US" w:eastAsia="zh-CN"/>
        </w:rPr>
        <w:t>应急、交通、</w:t>
      </w:r>
      <w:r>
        <w:rPr>
          <w:rFonts w:hint="default" w:ascii="Times New Roman" w:hAnsi="Times New Roman" w:eastAsia="宋体" w:cs="Times New Roman"/>
          <w:sz w:val="28"/>
          <w:szCs w:val="28"/>
          <w:lang w:val="en-US" w:eastAsia="zh-CN"/>
        </w:rPr>
        <w:t>林业、环保</w:t>
      </w:r>
      <w:r>
        <w:rPr>
          <w:rFonts w:hint="eastAsia" w:ascii="Times New Roman" w:hAnsi="Times New Roman" w:eastAsia="宋体" w:cs="Times New Roman"/>
          <w:sz w:val="28"/>
          <w:szCs w:val="28"/>
          <w:lang w:val="en-US" w:eastAsia="zh-CN"/>
        </w:rPr>
        <w:t>等</w:t>
      </w:r>
      <w:r>
        <w:rPr>
          <w:rFonts w:hint="default" w:ascii="Times New Roman" w:hAnsi="Times New Roman" w:eastAsia="宋体" w:cs="Times New Roman"/>
          <w:sz w:val="28"/>
          <w:szCs w:val="28"/>
          <w:lang w:val="en-US" w:eastAsia="zh-CN"/>
        </w:rPr>
        <w:t>部门管理要求，按照矿山生态保护目标，在矿区周边挂设</w:t>
      </w:r>
      <w:r>
        <w:rPr>
          <w:rFonts w:hint="eastAsia" w:ascii="Times New Roman" w:hAnsi="Times New Roman" w:eastAsia="宋体" w:cs="Times New Roman"/>
          <w:sz w:val="28"/>
          <w:szCs w:val="28"/>
          <w:lang w:val="en-US" w:eastAsia="zh-CN"/>
        </w:rPr>
        <w:t>地灾防护、</w:t>
      </w:r>
      <w:r>
        <w:rPr>
          <w:rFonts w:hint="default" w:ascii="Times New Roman" w:hAnsi="Times New Roman" w:eastAsia="宋体" w:cs="Times New Roman"/>
          <w:sz w:val="28"/>
          <w:szCs w:val="28"/>
          <w:lang w:val="en-US" w:eastAsia="zh-CN"/>
        </w:rPr>
        <w:t>护林防火、</w:t>
      </w:r>
      <w:r>
        <w:rPr>
          <w:rFonts w:hint="eastAsia" w:ascii="Times New Roman" w:hAnsi="Times New Roman" w:eastAsia="宋体" w:cs="Times New Roman"/>
          <w:sz w:val="28"/>
          <w:szCs w:val="28"/>
          <w:lang w:val="en-US" w:eastAsia="zh-CN"/>
        </w:rPr>
        <w:t>交通安全、</w:t>
      </w:r>
      <w:r>
        <w:rPr>
          <w:rFonts w:hint="default" w:ascii="Times New Roman" w:hAnsi="Times New Roman" w:eastAsia="宋体" w:cs="Times New Roman"/>
          <w:sz w:val="28"/>
          <w:szCs w:val="28"/>
          <w:lang w:val="en-US" w:eastAsia="zh-CN"/>
        </w:rPr>
        <w:t>野生动植物保护标牌及张贴标语等；该项措施贯穿矿山开采、修复与管护全生命周期。本次共设计</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块标牌（含中途补换），分别在工业广场、露采场</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排土场</w:t>
      </w:r>
      <w:r>
        <w:rPr>
          <w:rFonts w:hint="eastAsia" w:ascii="Times New Roman" w:hAnsi="Times New Roman" w:eastAsia="宋体" w:cs="Times New Roman"/>
          <w:sz w:val="28"/>
          <w:szCs w:val="28"/>
          <w:lang w:val="en-US" w:eastAsia="zh-CN"/>
        </w:rPr>
        <w:t>及矿山道路</w:t>
      </w:r>
      <w:r>
        <w:rPr>
          <w:rFonts w:hint="default" w:ascii="Times New Roman" w:hAnsi="Times New Roman" w:eastAsia="宋体" w:cs="Times New Roman"/>
          <w:sz w:val="28"/>
          <w:szCs w:val="28"/>
          <w:lang w:val="en-US" w:eastAsia="zh-CN"/>
        </w:rPr>
        <w:t>周边设置。标牌牌面应采用铝合金材料制作，标牌立杆为不锈钢或镀锌钢管，立杆埋入地下深度应不小于0.3m，埋入地下部分应采用混凝土浇筑。标牌规格等应符合《标牌》（GB/T13306）和《矿山安全标志》（GB14161）中的制作要求和规范。</w:t>
      </w:r>
    </w:p>
    <w:p>
      <w:pPr>
        <w:spacing w:line="0" w:lineRule="atLeast"/>
        <w:ind w:firstLine="482" w:firstLineChars="200"/>
        <w:jc w:val="center"/>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表4-1 生态保护保育工程量汇总表</w:t>
      </w:r>
    </w:p>
    <w:tbl>
      <w:tblPr>
        <w:tblStyle w:val="12"/>
        <w:tblW w:w="4998" w:type="pct"/>
        <w:tblInd w:w="0" w:type="dxa"/>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3261"/>
        <w:gridCol w:w="2286"/>
        <w:gridCol w:w="1486"/>
        <w:gridCol w:w="1486"/>
      </w:tblGrid>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exact"/>
        </w:trPr>
        <w:tc>
          <w:tcPr>
            <w:tcW w:w="19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val="en-US" w:eastAsia="zh-CN"/>
              </w:rPr>
              <w:t>工程名称</w:t>
            </w:r>
          </w:p>
        </w:tc>
        <w:tc>
          <w:tcPr>
            <w:tcW w:w="134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val="en-US" w:eastAsia="zh-CN"/>
              </w:rPr>
              <w:t>工 程 项 目</w:t>
            </w:r>
          </w:p>
        </w:tc>
        <w:tc>
          <w:tcPr>
            <w:tcW w:w="872"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val="en-US" w:eastAsia="zh-CN"/>
              </w:rPr>
              <w:t>单 位</w:t>
            </w:r>
          </w:p>
        </w:tc>
        <w:tc>
          <w:tcPr>
            <w:tcW w:w="872"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val="en-US" w:eastAsia="zh-CN"/>
              </w:rPr>
              <w:t>工程量</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exact"/>
        </w:trPr>
        <w:tc>
          <w:tcPr>
            <w:tcW w:w="19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生态保护保育</w:t>
            </w:r>
            <w:r>
              <w:rPr>
                <w:rFonts w:hint="default" w:ascii="Times New Roman" w:hAnsi="Times New Roman" w:eastAsia="宋体" w:cs="Times New Roman"/>
                <w:sz w:val="21"/>
                <w:szCs w:val="21"/>
                <w:lang w:val="en-US" w:eastAsia="zh-CN"/>
              </w:rPr>
              <w:t>工程</w:t>
            </w:r>
          </w:p>
        </w:tc>
        <w:tc>
          <w:tcPr>
            <w:tcW w:w="134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宣传警示牌</w:t>
            </w:r>
          </w:p>
        </w:tc>
        <w:tc>
          <w:tcPr>
            <w:tcW w:w="872"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块</w:t>
            </w:r>
          </w:p>
        </w:tc>
        <w:tc>
          <w:tcPr>
            <w:tcW w:w="872"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w:t>
            </w:r>
          </w:p>
        </w:tc>
      </w:tr>
    </w:tbl>
    <w:p>
      <w:pPr>
        <w:spacing w:line="360" w:lineRule="auto"/>
        <w:jc w:val="center"/>
        <w:rPr>
          <w:rFonts w:hint="default" w:ascii="Times New Roman" w:hAnsi="Times New Roman" w:eastAsia="宋体" w:cs="Times New Roman"/>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图4-1 警示牌示意图（尺寸：cm）</w:t>
      </w:r>
    </w:p>
    <w:p>
      <w:pPr>
        <w:numPr>
          <w:ilvl w:val="0"/>
          <w:numId w:val="3"/>
        </w:numPr>
        <w:spacing w:line="360" w:lineRule="auto"/>
        <w:ind w:firstLine="562" w:firstLineChars="200"/>
        <w:rPr>
          <w:rFonts w:hint="default" w:ascii="Times New Roman" w:hAnsi="Times New Roman" w:eastAsia="宋体" w:cs="Times New Roman"/>
          <w:b/>
          <w:sz w:val="28"/>
          <w:szCs w:val="28"/>
          <w:lang w:val="en-US" w:eastAsia="zh-CN"/>
        </w:rPr>
      </w:pPr>
      <w:r>
        <w:rPr>
          <w:rFonts w:hint="default" w:ascii="Times New Roman" w:hAnsi="Times New Roman" w:eastAsia="宋体" w:cs="Times New Roman"/>
          <w:b/>
          <w:sz w:val="28"/>
          <w:szCs w:val="28"/>
          <w:lang w:val="en-US" w:eastAsia="zh-CN"/>
        </w:rPr>
        <w:t>生态修复工程</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562" w:firstLineChars="200"/>
        <w:textAlignment w:val="auto"/>
        <w:rPr>
          <w:rFonts w:hint="default" w:ascii="Times New Roman" w:hAnsi="Times New Roman" w:eastAsia="宋体" w:cs="Times New Roman"/>
          <w:b/>
          <w:sz w:val="28"/>
          <w:szCs w:val="28"/>
          <w:lang w:val="en-US" w:eastAsia="zh-CN"/>
        </w:rPr>
      </w:pPr>
      <w:r>
        <w:rPr>
          <w:rFonts w:hint="default" w:ascii="Times New Roman" w:hAnsi="Times New Roman" w:eastAsia="宋体" w:cs="Times New Roman"/>
          <w:b/>
          <w:sz w:val="28"/>
          <w:szCs w:val="28"/>
          <w:lang w:val="en-US" w:eastAsia="zh-CN"/>
        </w:rPr>
        <w:t>地形地貌景观修复工程</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矿山道路和工业广场在使用过程中，及时做好绿化美化，建设绿化工程。矿山道路两侧各种植一行绿化树种，采用乔灌草结合方式进行，优先选择乡土树种，乔木植被选择</w:t>
      </w:r>
      <w:r>
        <w:rPr>
          <w:rFonts w:hint="eastAsia" w:ascii="Times New Roman" w:hAnsi="Times New Roman" w:eastAsia="宋体" w:cs="Times New Roman"/>
          <w:sz w:val="28"/>
          <w:szCs w:val="28"/>
          <w:lang w:val="en-US" w:eastAsia="zh-CN"/>
        </w:rPr>
        <w:t>杉树</w:t>
      </w:r>
      <w:r>
        <w:rPr>
          <w:rFonts w:hint="default" w:ascii="Times New Roman" w:hAnsi="Times New Roman" w:eastAsia="宋体" w:cs="Times New Roman"/>
          <w:sz w:val="28"/>
          <w:szCs w:val="28"/>
          <w:lang w:val="en-US" w:eastAsia="zh-CN"/>
        </w:rPr>
        <w:t>、楠木、红榉，灌木选择火棘、胡枝子、女贞、杜鹃。乔木和灌木的种植间距均是3m×3m。矿山公路总长***米，栽植乔木和灌木株数均为***株。</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工业广场在绿化区域采用乔灌草结合并撒播草籽方式进行绿化，优先选择乡土树种，乔木植被选择</w:t>
      </w:r>
      <w:r>
        <w:rPr>
          <w:rFonts w:hint="eastAsia" w:ascii="Times New Roman" w:hAnsi="Times New Roman" w:eastAsia="宋体" w:cs="Times New Roman"/>
          <w:sz w:val="28"/>
          <w:szCs w:val="28"/>
          <w:lang w:val="en-US" w:eastAsia="zh-CN"/>
        </w:rPr>
        <w:t>杉树</w:t>
      </w:r>
      <w:r>
        <w:rPr>
          <w:rFonts w:hint="default" w:ascii="Times New Roman" w:hAnsi="Times New Roman" w:eastAsia="宋体" w:cs="Times New Roman"/>
          <w:sz w:val="28"/>
          <w:szCs w:val="28"/>
          <w:lang w:val="en-US" w:eastAsia="zh-CN"/>
        </w:rPr>
        <w:t>、楠木、红榉，灌木选择火棘、胡枝子、女贞、杜鹃；林间铺设草皮。估算工业广场绿化率***%，工业广场面积***公顷，则工业广场栽植乔木和灌木株数均为***株，草皮铺设面积***㎡。</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乔木、灌木均选择带土球树苗，乔木要求树苗高度不小于80cm、胸径不小于3cm；灌木要求树苗高度不小于40cm、冠幅不小于30cm</w:t>
      </w:r>
      <w:r>
        <w:rPr>
          <w:rFonts w:hint="eastAsia" w:ascii="Times New Roman" w:hAnsi="Times New Roman" w:eastAsia="宋体" w:cs="Times New Roman"/>
          <w:sz w:val="28"/>
          <w:szCs w:val="28"/>
          <w:lang w:val="en-US" w:eastAsia="zh-CN"/>
        </w:rPr>
        <w:t>；栽植季节为春季。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图4-2 矿山道路绿化工程示意图（单侧）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图4-3 工业广场绿化区域工程示意图</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562" w:firstLineChars="200"/>
        <w:textAlignment w:val="auto"/>
        <w:rPr>
          <w:rFonts w:hint="default" w:ascii="Times New Roman" w:hAnsi="Times New Roman" w:eastAsia="宋体" w:cs="Times New Roman"/>
          <w:b/>
          <w:sz w:val="28"/>
          <w:szCs w:val="28"/>
          <w:lang w:val="en-US" w:eastAsia="zh-CN"/>
        </w:rPr>
      </w:pPr>
      <w:r>
        <w:rPr>
          <w:rFonts w:hint="default" w:ascii="Times New Roman" w:hAnsi="Times New Roman" w:eastAsia="宋体" w:cs="Times New Roman"/>
          <w:b/>
          <w:sz w:val="28"/>
          <w:szCs w:val="28"/>
          <w:lang w:val="en-US" w:eastAsia="zh-CN"/>
        </w:rPr>
        <w:t>土地复垦与生物多样性恢复工程</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矿山的地面建设对当地的生物多样性不造成影响，恢复植被是未来土地复垦与生物多样性修复的主要目的。</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复垦方向的选择</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b w:val="0"/>
          <w:bCs w:val="0"/>
          <w:sz w:val="28"/>
          <w:szCs w:val="28"/>
          <w:highlight w:val="none"/>
        </w:rPr>
        <w:t>1）</w:t>
      </w:r>
      <w:r>
        <w:rPr>
          <w:rFonts w:hint="default" w:ascii="Times New Roman" w:hAnsi="Times New Roman" w:eastAsia="宋体" w:cs="Times New Roman"/>
          <w:sz w:val="28"/>
          <w:szCs w:val="28"/>
        </w:rPr>
        <w:t>各单元复垦方向分析</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矿山开采占地的主要类别为林地，以下从几个方面分析未来矿山的各复垦单元的复垦方向。</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露采场：本矿采用露天开采，露天山坡采用折返式公路汽车运输开拓方式</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未来矿山依次逐台阶进行剥离，开采沿工作线方向由高往低推进；设计矿山未来开采最高平台为+***m台阶（剥离平台），台阶高度为***m，共划分为+***m～+***m、+***m～+***m、+***m～+***m、+***m～+***m、+***m～+***m、+***m～+***m、+***m～+***m、+***～+***m等***个台阶，平台宽度***m，其中+***m～+***m、+***m～+***m为清扫平台，平台宽度***m。</w:t>
      </w:r>
      <w:r>
        <w:rPr>
          <w:rFonts w:hint="default" w:ascii="Times New Roman" w:hAnsi="Times New Roman" w:eastAsia="宋体" w:cs="Times New Roman"/>
          <w:sz w:val="28"/>
          <w:szCs w:val="28"/>
          <w:lang w:val="en-US" w:eastAsia="zh-CN"/>
        </w:rPr>
        <w:t>根据</w:t>
      </w:r>
      <w:r>
        <w:rPr>
          <w:rFonts w:hint="default" w:ascii="Times New Roman" w:hAnsi="Times New Roman" w:eastAsia="宋体" w:cs="Times New Roman"/>
          <w:sz w:val="28"/>
          <w:szCs w:val="28"/>
        </w:rPr>
        <w:t>露采场各台阶开采顺序表</w:t>
      </w:r>
      <w:r>
        <w:rPr>
          <w:rFonts w:hint="default" w:ascii="Times New Roman" w:hAnsi="Times New Roman" w:eastAsia="宋体" w:cs="Times New Roman"/>
          <w:sz w:val="28"/>
          <w:szCs w:val="28"/>
          <w:lang w:val="en-US" w:eastAsia="zh-CN"/>
        </w:rPr>
        <w:t>依次对各台阶及终了平台进行复垦。开采时先剥离覆土地段，可优先用于上年度开采台阶复垦，剩余耕作层表土存放于排土场表土存放处，专门用于土地复垦的覆土。</w:t>
      </w:r>
      <w:r>
        <w:rPr>
          <w:rFonts w:hint="default" w:ascii="Times New Roman" w:hAnsi="Times New Roman" w:eastAsia="宋体" w:cs="Times New Roman"/>
          <w:sz w:val="28"/>
          <w:szCs w:val="28"/>
        </w:rPr>
        <w:t>本次确定露采场平台可复垦为林地（种植灌木</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播撒草籽）</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终了平台乔灌草结合复垦为林地</w:t>
      </w:r>
      <w:r>
        <w:rPr>
          <w:rFonts w:hint="default" w:ascii="Times New Roman" w:hAnsi="Times New Roman" w:eastAsia="宋体" w:cs="Times New Roman"/>
          <w:sz w:val="28"/>
          <w:szCs w:val="28"/>
        </w:rPr>
        <w:t>。</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工业广场</w:t>
      </w:r>
      <w:r>
        <w:rPr>
          <w:rFonts w:hint="default" w:ascii="Times New Roman" w:hAnsi="Times New Roman" w:eastAsia="宋体" w:cs="Times New Roman"/>
          <w:sz w:val="28"/>
          <w:szCs w:val="28"/>
        </w:rPr>
        <w:t>：矿山的工业广场原主要为林地，该区域地势较平坦，考虑</w:t>
      </w:r>
      <w:r>
        <w:rPr>
          <w:rFonts w:hint="eastAsia" w:ascii="Times New Roman" w:hAnsi="Times New Roman" w:eastAsia="宋体" w:cs="Times New Roman"/>
          <w:sz w:val="28"/>
          <w:szCs w:val="28"/>
          <w:lang w:val="en-US" w:eastAsia="zh-CN"/>
        </w:rPr>
        <w:t>未来使用</w:t>
      </w:r>
      <w:r>
        <w:rPr>
          <w:rFonts w:hint="default" w:ascii="Times New Roman" w:hAnsi="Times New Roman" w:eastAsia="宋体" w:cs="Times New Roman"/>
          <w:sz w:val="28"/>
          <w:szCs w:val="28"/>
        </w:rPr>
        <w:t>不会污染土壤，本次设计拆除硬化物，外运至露采场</w:t>
      </w:r>
      <w:r>
        <w:rPr>
          <w:rFonts w:hint="eastAsia" w:ascii="Times New Roman" w:hAnsi="Times New Roman" w:eastAsia="宋体" w:cs="Times New Roman"/>
          <w:sz w:val="28"/>
          <w:szCs w:val="28"/>
          <w:lang w:eastAsia="zh-CN"/>
        </w:rPr>
        <w:t>终了平台</w:t>
      </w:r>
      <w:r>
        <w:rPr>
          <w:rFonts w:hint="default" w:ascii="Times New Roman" w:hAnsi="Times New Roman" w:eastAsia="宋体" w:cs="Times New Roman"/>
          <w:sz w:val="28"/>
          <w:szCs w:val="28"/>
        </w:rPr>
        <w:t>填埋后可修复为林地。</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排土场：排土场原主要为林地，可经过平整及植被恢复</w:t>
      </w:r>
      <w:r>
        <w:rPr>
          <w:rFonts w:hint="eastAsia" w:ascii="Times New Roman" w:hAnsi="Times New Roman" w:eastAsia="宋体" w:cs="Times New Roman"/>
          <w:sz w:val="28"/>
          <w:szCs w:val="28"/>
          <w:lang w:val="en-US" w:eastAsia="zh-CN"/>
        </w:rPr>
        <w:t>对损毁部分</w:t>
      </w:r>
      <w:r>
        <w:rPr>
          <w:rFonts w:hint="default" w:ascii="Times New Roman" w:hAnsi="Times New Roman" w:eastAsia="宋体" w:cs="Times New Roman"/>
          <w:sz w:val="28"/>
          <w:szCs w:val="28"/>
          <w:lang w:val="en-US" w:eastAsia="zh-CN"/>
        </w:rPr>
        <w:t>修复为林地。</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矿山公路：未来矿山矿区的道路可利用为护林防火通道，同时方便当地百姓生产生活需要，根据矿山土地使用方案，拟纳入国土空间规划，并规划调整为交通用地，由采矿权人通过办理农用地转用手续。矿山道路未来保留作为农村道路使用。</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2）根据矿山所在地的自然、交通条件分析土地的复垦方向</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rPr>
        <w:t>矿山交通条件十分便利，附近有较多常住居民。根据自然、交通条件等因素分析，基本可以确定，未来土地复垦方向</w:t>
      </w:r>
      <w:r>
        <w:rPr>
          <w:rFonts w:hint="eastAsia" w:ascii="Times New Roman" w:hAnsi="Times New Roman" w:eastAsia="宋体" w:cs="Times New Roman"/>
          <w:sz w:val="28"/>
          <w:szCs w:val="28"/>
          <w:lang w:val="en-US" w:eastAsia="zh-CN"/>
        </w:rPr>
        <w:t>基本</w:t>
      </w:r>
      <w:r>
        <w:rPr>
          <w:rFonts w:hint="default" w:ascii="Times New Roman" w:hAnsi="Times New Roman" w:eastAsia="宋体" w:cs="Times New Roman"/>
          <w:sz w:val="28"/>
          <w:szCs w:val="28"/>
        </w:rPr>
        <w:t>以林地为宜，符合因地制宜的原则。</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3）根据对</w:t>
      </w:r>
      <w:r>
        <w:rPr>
          <w:rFonts w:hint="eastAsia" w:ascii="Times New Roman" w:hAnsi="Times New Roman" w:eastAsia="宋体" w:cs="Times New Roman"/>
          <w:sz w:val="28"/>
          <w:szCs w:val="28"/>
          <w:lang w:val="en-US" w:eastAsia="zh-CN"/>
        </w:rPr>
        <w:t>林地保护</w:t>
      </w:r>
      <w:r>
        <w:rPr>
          <w:rFonts w:hint="default" w:ascii="Times New Roman" w:hAnsi="Times New Roman" w:eastAsia="宋体" w:cs="Times New Roman"/>
          <w:sz w:val="28"/>
          <w:szCs w:val="28"/>
        </w:rPr>
        <w:t>原则确定土地的复垦方向</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rPr>
        <w:t>矿山开采</w:t>
      </w:r>
      <w:r>
        <w:rPr>
          <w:rFonts w:hint="default" w:ascii="Times New Roman" w:hAnsi="Times New Roman" w:eastAsia="宋体" w:cs="Times New Roman"/>
          <w:sz w:val="28"/>
          <w:szCs w:val="28"/>
          <w:lang w:val="en-US" w:eastAsia="zh-CN"/>
        </w:rPr>
        <w:t>主要</w:t>
      </w:r>
      <w:r>
        <w:rPr>
          <w:rFonts w:hint="default" w:ascii="Times New Roman" w:hAnsi="Times New Roman" w:eastAsia="宋体" w:cs="Times New Roman"/>
          <w:sz w:val="28"/>
          <w:szCs w:val="28"/>
        </w:rPr>
        <w:t>占用林地，本次设计将</w:t>
      </w:r>
      <w:r>
        <w:rPr>
          <w:rFonts w:hint="default" w:ascii="Times New Roman" w:hAnsi="Times New Roman" w:eastAsia="宋体" w:cs="Times New Roman"/>
          <w:sz w:val="28"/>
          <w:szCs w:val="28"/>
          <w:lang w:val="en-US" w:eastAsia="zh-CN"/>
        </w:rPr>
        <w:t>露采场、工业广场及排土场</w:t>
      </w:r>
      <w:r>
        <w:rPr>
          <w:rFonts w:hint="default" w:ascii="Times New Roman" w:hAnsi="Times New Roman" w:eastAsia="宋体" w:cs="Times New Roman"/>
          <w:sz w:val="28"/>
          <w:szCs w:val="28"/>
        </w:rPr>
        <w:t>复垦为林地</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rPr>
        <w:t>该地有矿区道路与乡村道路相连，未来可利用</w:t>
      </w:r>
      <w:r>
        <w:rPr>
          <w:rFonts w:hint="default" w:ascii="Times New Roman" w:hAnsi="Times New Roman" w:eastAsia="宋体" w:cs="Times New Roman"/>
          <w:sz w:val="28"/>
          <w:szCs w:val="28"/>
          <w:lang w:val="en-US" w:eastAsia="zh-CN"/>
        </w:rPr>
        <w:t>矿山</w:t>
      </w:r>
      <w:r>
        <w:rPr>
          <w:rFonts w:hint="default" w:ascii="Times New Roman" w:hAnsi="Times New Roman" w:eastAsia="宋体" w:cs="Times New Roman"/>
          <w:sz w:val="28"/>
          <w:szCs w:val="28"/>
        </w:rPr>
        <w:t>公路通行，且水源有保障。复垦的林地面积大于占用面积，符合林地保护的原则。</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4）</w:t>
      </w:r>
      <w:r>
        <w:rPr>
          <w:rFonts w:hint="eastAsia" w:ascii="Times New Roman" w:hAnsi="Times New Roman" w:eastAsia="宋体" w:cs="Times New Roman"/>
          <w:sz w:val="28"/>
          <w:szCs w:val="28"/>
          <w:lang w:val="en-US" w:eastAsia="zh-CN"/>
        </w:rPr>
        <w:t>结合</w:t>
      </w:r>
      <w:r>
        <w:rPr>
          <w:rFonts w:hint="default" w:ascii="Times New Roman" w:hAnsi="Times New Roman" w:eastAsia="宋体" w:cs="Times New Roman"/>
          <w:sz w:val="28"/>
          <w:szCs w:val="28"/>
        </w:rPr>
        <w:t>当地居民的意见</w:t>
      </w:r>
      <w:r>
        <w:rPr>
          <w:rFonts w:hint="eastAsia" w:ascii="Times New Roman" w:hAnsi="Times New Roman" w:eastAsia="宋体" w:cs="Times New Roman"/>
          <w:sz w:val="28"/>
          <w:szCs w:val="28"/>
          <w:lang w:val="en-US" w:eastAsia="zh-CN"/>
        </w:rPr>
        <w:t>最终</w:t>
      </w:r>
      <w:r>
        <w:rPr>
          <w:rFonts w:hint="default" w:ascii="Times New Roman" w:hAnsi="Times New Roman" w:eastAsia="宋体" w:cs="Times New Roman"/>
          <w:sz w:val="28"/>
          <w:szCs w:val="28"/>
        </w:rPr>
        <w:t>确定复垦方向</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本次现场调查收集了当地居民的意见，一致认为矿业活动占地未来复垦为林地比较适宜。</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综上各类因素，本次设计露采场</w:t>
      </w:r>
      <w:r>
        <w:rPr>
          <w:rFonts w:hint="eastAsia" w:ascii="Times New Roman" w:hAnsi="Times New Roman" w:eastAsia="宋体" w:cs="Times New Roman"/>
          <w:sz w:val="28"/>
          <w:szCs w:val="28"/>
          <w:lang w:val="en-US" w:eastAsia="zh-CN"/>
        </w:rPr>
        <w:t>台阶</w:t>
      </w: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val="en-US" w:eastAsia="zh-CN"/>
        </w:rPr>
        <w:t>工业广场及排土场</w:t>
      </w:r>
      <w:r>
        <w:rPr>
          <w:rFonts w:hint="default" w:ascii="Times New Roman" w:hAnsi="Times New Roman" w:eastAsia="宋体" w:cs="Times New Roman"/>
          <w:sz w:val="28"/>
          <w:szCs w:val="28"/>
        </w:rPr>
        <w:t>复垦方向为林地（林间为草地），</w:t>
      </w:r>
      <w:r>
        <w:rPr>
          <w:rFonts w:hint="default" w:ascii="Times New Roman" w:hAnsi="Times New Roman" w:eastAsia="宋体" w:cs="Times New Roman"/>
          <w:sz w:val="28"/>
          <w:szCs w:val="28"/>
          <w:lang w:val="en-US" w:eastAsia="zh-CN"/>
        </w:rPr>
        <w:t>矿山公路保留作为农村道路。</w:t>
      </w:r>
    </w:p>
    <w:p>
      <w:pP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br w:type="page"/>
      </w:r>
    </w:p>
    <w:p>
      <w:pPr>
        <w:spacing w:line="0" w:lineRule="atLeast"/>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表4-</w:t>
      </w:r>
      <w:r>
        <w:rPr>
          <w:rFonts w:hint="default" w:ascii="Times New Roman" w:hAnsi="Times New Roman" w:eastAsia="宋体" w:cs="Times New Roman"/>
          <w:b/>
          <w:sz w:val="24"/>
          <w:szCs w:val="24"/>
          <w:lang w:val="en-US" w:eastAsia="zh-CN"/>
        </w:rPr>
        <w:t>2</w:t>
      </w:r>
      <w:r>
        <w:rPr>
          <w:rFonts w:hint="default" w:ascii="Times New Roman" w:hAnsi="Times New Roman" w:eastAsia="宋体" w:cs="Times New Roman"/>
          <w:b/>
          <w:sz w:val="24"/>
          <w:szCs w:val="24"/>
        </w:rPr>
        <w:t xml:space="preserve"> 各复垦单元复垦方向说明表</w:t>
      </w:r>
    </w:p>
    <w:tbl>
      <w:tblPr>
        <w:tblStyle w:val="23"/>
        <w:tblW w:w="4999" w:type="pct"/>
        <w:jc w:val="center"/>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Layout w:type="autofit"/>
        <w:tblCellMar>
          <w:top w:w="0" w:type="dxa"/>
          <w:left w:w="0" w:type="dxa"/>
          <w:bottom w:w="0" w:type="dxa"/>
          <w:right w:w="0" w:type="dxa"/>
        </w:tblCellMar>
      </w:tblPr>
      <w:tblGrid>
        <w:gridCol w:w="3607"/>
        <w:gridCol w:w="3248"/>
        <w:gridCol w:w="1449"/>
      </w:tblGrid>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519" w:hRule="atLeast"/>
          <w:jc w:val="center"/>
        </w:trPr>
        <w:tc>
          <w:tcPr>
            <w:tcW w:w="217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名称</w:t>
            </w:r>
          </w:p>
        </w:tc>
        <w:tc>
          <w:tcPr>
            <w:tcW w:w="195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复垦方向</w:t>
            </w:r>
          </w:p>
        </w:tc>
        <w:tc>
          <w:tcPr>
            <w:tcW w:w="87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复垦季节</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514" w:hRule="atLeast"/>
          <w:jc w:val="center"/>
        </w:trPr>
        <w:tc>
          <w:tcPr>
            <w:tcW w:w="217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露采场（</w:t>
            </w:r>
            <w:r>
              <w:rPr>
                <w:rFonts w:hint="eastAsia" w:ascii="Times New Roman" w:hAnsi="Times New Roman" w:eastAsia="宋体" w:cs="Times New Roman"/>
                <w:sz w:val="21"/>
                <w:szCs w:val="21"/>
                <w:lang w:val="en-US" w:eastAsia="zh-CN"/>
              </w:rPr>
              <w:t>台阶</w:t>
            </w:r>
            <w:r>
              <w:rPr>
                <w:rFonts w:hint="default" w:ascii="Times New Roman" w:hAnsi="Times New Roman" w:eastAsia="宋体" w:cs="Times New Roman"/>
                <w:sz w:val="21"/>
                <w:szCs w:val="21"/>
              </w:rPr>
              <w:t>）</w:t>
            </w:r>
          </w:p>
        </w:tc>
        <w:tc>
          <w:tcPr>
            <w:tcW w:w="195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林地（</w:t>
            </w:r>
            <w:r>
              <w:rPr>
                <w:rFonts w:hint="eastAsia" w:ascii="Times New Roman" w:hAnsi="Times New Roman" w:eastAsia="宋体" w:cs="Times New Roman"/>
                <w:sz w:val="21"/>
                <w:szCs w:val="21"/>
                <w:lang w:val="en-US" w:eastAsia="zh-CN"/>
              </w:rPr>
              <w:t>种植灌木</w:t>
            </w:r>
            <w:r>
              <w:rPr>
                <w:rFonts w:hint="default" w:ascii="Times New Roman" w:hAnsi="Times New Roman" w:eastAsia="宋体" w:cs="Times New Roman"/>
                <w:sz w:val="21"/>
                <w:szCs w:val="21"/>
              </w:rPr>
              <w:t>）</w:t>
            </w:r>
          </w:p>
        </w:tc>
        <w:tc>
          <w:tcPr>
            <w:tcW w:w="87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全年</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514" w:hRule="atLeast"/>
          <w:jc w:val="center"/>
        </w:trPr>
        <w:tc>
          <w:tcPr>
            <w:tcW w:w="217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露采场（</w:t>
            </w:r>
            <w:r>
              <w:rPr>
                <w:rFonts w:hint="eastAsia" w:ascii="Times New Roman" w:hAnsi="Times New Roman" w:eastAsia="宋体" w:cs="Times New Roman"/>
                <w:sz w:val="21"/>
                <w:szCs w:val="21"/>
                <w:lang w:val="en-US" w:eastAsia="zh-CN"/>
              </w:rPr>
              <w:t>终了</w:t>
            </w:r>
            <w:r>
              <w:rPr>
                <w:rFonts w:hint="default" w:ascii="Times New Roman" w:hAnsi="Times New Roman" w:eastAsia="宋体" w:cs="Times New Roman"/>
                <w:sz w:val="21"/>
                <w:szCs w:val="21"/>
              </w:rPr>
              <w:t>平台）</w:t>
            </w:r>
          </w:p>
        </w:tc>
        <w:tc>
          <w:tcPr>
            <w:tcW w:w="195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林地（乔灌草结合）</w:t>
            </w:r>
          </w:p>
        </w:tc>
        <w:tc>
          <w:tcPr>
            <w:tcW w:w="87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全年</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514" w:hRule="atLeast"/>
          <w:jc w:val="center"/>
        </w:trPr>
        <w:tc>
          <w:tcPr>
            <w:tcW w:w="217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工业广场</w:t>
            </w:r>
          </w:p>
        </w:tc>
        <w:tc>
          <w:tcPr>
            <w:tcW w:w="195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林地（</w:t>
            </w:r>
            <w:r>
              <w:rPr>
                <w:rFonts w:hint="default" w:ascii="Times New Roman" w:hAnsi="Times New Roman" w:eastAsia="宋体" w:cs="Times New Roman"/>
                <w:sz w:val="21"/>
                <w:szCs w:val="21"/>
                <w:lang w:val="en-US" w:eastAsia="zh-CN"/>
              </w:rPr>
              <w:t>乔灌草结合</w:t>
            </w:r>
            <w:r>
              <w:rPr>
                <w:rFonts w:hint="default" w:ascii="Times New Roman" w:hAnsi="Times New Roman" w:eastAsia="宋体" w:cs="Times New Roman"/>
                <w:sz w:val="21"/>
                <w:szCs w:val="21"/>
              </w:rPr>
              <w:t>）</w:t>
            </w:r>
          </w:p>
        </w:tc>
        <w:tc>
          <w:tcPr>
            <w:tcW w:w="87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全年</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514" w:hRule="atLeast"/>
          <w:jc w:val="center"/>
        </w:trPr>
        <w:tc>
          <w:tcPr>
            <w:tcW w:w="217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排土场</w:t>
            </w:r>
          </w:p>
        </w:tc>
        <w:tc>
          <w:tcPr>
            <w:tcW w:w="195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林地（</w:t>
            </w:r>
            <w:r>
              <w:rPr>
                <w:rFonts w:hint="default" w:ascii="Times New Roman" w:hAnsi="Times New Roman" w:eastAsia="宋体" w:cs="Times New Roman"/>
                <w:sz w:val="21"/>
                <w:szCs w:val="21"/>
                <w:lang w:val="en-US" w:eastAsia="zh-CN"/>
              </w:rPr>
              <w:t>乔灌草结合</w:t>
            </w:r>
            <w:r>
              <w:rPr>
                <w:rFonts w:hint="default" w:ascii="Times New Roman" w:hAnsi="Times New Roman" w:eastAsia="宋体" w:cs="Times New Roman"/>
                <w:sz w:val="21"/>
                <w:szCs w:val="21"/>
              </w:rPr>
              <w:t>）</w:t>
            </w:r>
          </w:p>
        </w:tc>
        <w:tc>
          <w:tcPr>
            <w:tcW w:w="87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全年</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514" w:hRule="atLeast"/>
          <w:jc w:val="center"/>
        </w:trPr>
        <w:tc>
          <w:tcPr>
            <w:tcW w:w="217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矿山公路</w:t>
            </w:r>
          </w:p>
        </w:tc>
        <w:tc>
          <w:tcPr>
            <w:tcW w:w="195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保留</w:t>
            </w:r>
          </w:p>
        </w:tc>
        <w:tc>
          <w:tcPr>
            <w:tcW w:w="87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bl>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土地复垦的质量要求和标准</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依据《土地复垦质量控制标准（TD/T1036-201</w:t>
      </w:r>
      <w:r>
        <w:rPr>
          <w:rFonts w:hint="default" w:ascii="Times New Roman" w:hAnsi="Times New Roman" w:eastAsia="宋体" w:cs="Times New Roman"/>
          <w:sz w:val="28"/>
          <w:szCs w:val="28"/>
          <w:lang w:val="en-US" w:eastAsia="zh-CN"/>
        </w:rPr>
        <w:t>7</w:t>
      </w:r>
      <w:r>
        <w:rPr>
          <w:rFonts w:hint="default" w:ascii="Times New Roman" w:hAnsi="Times New Roman" w:eastAsia="宋体" w:cs="Times New Roman"/>
          <w:sz w:val="28"/>
          <w:szCs w:val="28"/>
        </w:rPr>
        <w:t>）》，结合矿区的现状，依据土地复垦适宜性评价结果，确定本项目的土地复垦质量要求如下：</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复垦利用类型应当与当地地形、地貌和周围环境相协调；</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复垦场地的稳定性和安全性应有可靠保证；</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rPr>
        <w:t>不同的破坏类型标准应不一样；</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rPr>
        <w:t>保存原有地表表层土壤。单独剥离，单独贮存，应充分利用原有表土为顶部覆盖层，覆盖后的表层应规范、平整，覆盖层的容重应满足复垦利用要求；</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5）</w:t>
      </w:r>
      <w:r>
        <w:rPr>
          <w:rFonts w:hint="default" w:ascii="Times New Roman" w:hAnsi="Times New Roman" w:eastAsia="宋体" w:cs="Times New Roman"/>
          <w:sz w:val="28"/>
          <w:szCs w:val="28"/>
        </w:rPr>
        <w:t>复垦场地要有满足要求的排水设施，防洪标准符合当地要求；</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6）</w:t>
      </w:r>
      <w:r>
        <w:rPr>
          <w:rFonts w:hint="default" w:ascii="Times New Roman" w:hAnsi="Times New Roman" w:eastAsia="宋体" w:cs="Times New Roman"/>
          <w:sz w:val="28"/>
          <w:szCs w:val="28"/>
        </w:rPr>
        <w:t>复垦场地有控制水土流失的措施；</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7）</w:t>
      </w:r>
      <w:r>
        <w:rPr>
          <w:rFonts w:hint="default" w:ascii="Times New Roman" w:hAnsi="Times New Roman" w:eastAsia="宋体" w:cs="Times New Roman"/>
          <w:sz w:val="28"/>
          <w:szCs w:val="28"/>
        </w:rPr>
        <w:t>复垦场地有控制污染的措施，包括空气、地表水和地下水等；</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8）</w:t>
      </w:r>
      <w:r>
        <w:rPr>
          <w:rFonts w:hint="default" w:ascii="Times New Roman" w:hAnsi="Times New Roman" w:eastAsia="宋体" w:cs="Times New Roman"/>
          <w:sz w:val="28"/>
          <w:szCs w:val="28"/>
        </w:rPr>
        <w:t>复垦场地的道</w:t>
      </w:r>
      <w:r>
        <w:rPr>
          <w:rFonts w:hint="default" w:ascii="Times New Roman" w:hAnsi="Times New Roman" w:eastAsia="宋体" w:cs="Times New Roman"/>
          <w:sz w:val="28"/>
          <w:szCs w:val="28"/>
          <w:lang w:eastAsia="zh-CN"/>
        </w:rPr>
        <w:t>路</w:t>
      </w:r>
      <w:r>
        <w:rPr>
          <w:rFonts w:hint="default" w:ascii="Times New Roman" w:hAnsi="Times New Roman" w:eastAsia="宋体" w:cs="Times New Roman"/>
          <w:sz w:val="28"/>
          <w:szCs w:val="28"/>
        </w:rPr>
        <w:t>、交通干线布置合理；</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9）</w:t>
      </w:r>
      <w:r>
        <w:rPr>
          <w:rFonts w:hint="default" w:ascii="Times New Roman" w:hAnsi="Times New Roman" w:eastAsia="宋体" w:cs="Times New Roman"/>
          <w:sz w:val="28"/>
          <w:szCs w:val="28"/>
        </w:rPr>
        <w:t>用于覆盖的材料应当无毒无害。材料如含有有害成分应事先进行处理，必要时应设置隔离层后再复垦。</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综合以上复垦质量要求，</w:t>
      </w:r>
      <w:r>
        <w:rPr>
          <w:rFonts w:hint="default" w:ascii="Times New Roman" w:hAnsi="Times New Roman" w:eastAsia="宋体" w:cs="Times New Roman"/>
          <w:sz w:val="28"/>
          <w:szCs w:val="28"/>
        </w:rPr>
        <w:t>根据上述土地复垦方向分析结果，</w:t>
      </w:r>
      <w:r>
        <w:rPr>
          <w:rFonts w:hint="default" w:ascii="Times New Roman" w:hAnsi="Times New Roman" w:eastAsia="宋体" w:cs="Times New Roman"/>
          <w:sz w:val="28"/>
          <w:szCs w:val="28"/>
          <w:lang w:val="en-US" w:eastAsia="zh-CN"/>
        </w:rPr>
        <w:t>土地</w:t>
      </w:r>
      <w:r>
        <w:rPr>
          <w:rFonts w:hint="default" w:ascii="Times New Roman" w:hAnsi="Times New Roman" w:eastAsia="宋体" w:cs="Times New Roman"/>
          <w:sz w:val="28"/>
          <w:szCs w:val="28"/>
        </w:rPr>
        <w:t>复垦方向为</w:t>
      </w:r>
      <w:r>
        <w:rPr>
          <w:rFonts w:hint="default" w:ascii="Times New Roman" w:hAnsi="Times New Roman" w:eastAsia="宋体" w:cs="Times New Roman"/>
          <w:sz w:val="28"/>
          <w:szCs w:val="28"/>
          <w:lang w:val="en-US" w:eastAsia="zh-CN"/>
        </w:rPr>
        <w:t>林地</w:t>
      </w:r>
      <w:r>
        <w:rPr>
          <w:rFonts w:hint="default" w:ascii="Times New Roman" w:hAnsi="Times New Roman" w:eastAsia="宋体" w:cs="Times New Roman"/>
          <w:sz w:val="28"/>
          <w:szCs w:val="28"/>
        </w:rPr>
        <w:t>。复垦后的土地及相应的配套工程须达到如下标准：</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1）复垦后的地形、地貌与周围环境相协调，农用地表层应具有可供植物生长的土壤环境，复垦后场地有控制水土流失的措施。</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复垦后林地有效土层厚度不小于30cm，土壤容重不大于1.45g/c</w:t>
      </w:r>
      <w:r>
        <w:rPr>
          <w:rFonts w:hint="default" w:ascii="Times New Roman" w:hAnsi="Times New Roman" w:eastAsia="宋体" w:cs="Times New Roman"/>
          <w:sz w:val="28"/>
          <w:szCs w:val="28"/>
          <w:lang w:eastAsia="zh-CN"/>
        </w:rPr>
        <w:t>m³</w:t>
      </w:r>
      <w:r>
        <w:rPr>
          <w:rFonts w:hint="default" w:ascii="Times New Roman" w:hAnsi="Times New Roman" w:eastAsia="宋体" w:cs="Times New Roman"/>
          <w:sz w:val="28"/>
          <w:szCs w:val="28"/>
        </w:rPr>
        <w:t>，有机质含量不小于1.0%，砾石含量不大于20%，土壤</w:t>
      </w:r>
      <w:r>
        <w:rPr>
          <w:rFonts w:hint="default" w:ascii="Times New Roman" w:hAnsi="Times New Roman" w:eastAsia="宋体" w:cs="Times New Roman"/>
          <w:sz w:val="28"/>
          <w:szCs w:val="28"/>
          <w:lang w:eastAsia="zh-CN"/>
        </w:rPr>
        <w:t>pH值</w:t>
      </w:r>
      <w:r>
        <w:rPr>
          <w:rFonts w:hint="default" w:ascii="Times New Roman" w:hAnsi="Times New Roman" w:eastAsia="宋体" w:cs="Times New Roman"/>
          <w:sz w:val="28"/>
          <w:szCs w:val="28"/>
        </w:rPr>
        <w:t>控制在5.0~8.5之间；土壤的酸碱度应适应相应树种的生长，同时做到适地适树，选择适宜性较强、耐瘠薄及抗病虫害的树种；力争3</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5年后复垦区其他林地郁闭度应高于0.</w:t>
      </w:r>
      <w:r>
        <w:rPr>
          <w:rFonts w:hint="default" w:ascii="Times New Roman" w:hAnsi="Times New Roman" w:eastAsia="宋体" w:cs="Times New Roman"/>
          <w:sz w:val="28"/>
          <w:szCs w:val="28"/>
          <w:lang w:val="en-US" w:eastAsia="zh-CN"/>
        </w:rPr>
        <w:t>5</w:t>
      </w:r>
      <w:r>
        <w:rPr>
          <w:rFonts w:hint="default" w:ascii="Times New Roman" w:hAnsi="Times New Roman" w:eastAsia="宋体" w:cs="Times New Roman"/>
          <w:sz w:val="28"/>
          <w:szCs w:val="28"/>
        </w:rPr>
        <w:t>。通过管护人工造林当年造林成活率控制在85%以上。</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rPr>
        <w:t>恢复并完善复垦区内灌排系统，做到灌溉便利、排水畅通。临时用地使用过程中，保证其良好运行。</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rPr>
        <w:t>场地边坡按</w:t>
      </w:r>
      <w:r>
        <w:rPr>
          <w:rFonts w:hint="default" w:ascii="Times New Roman" w:hAnsi="Times New Roman" w:eastAsia="宋体" w:cs="Times New Roman"/>
          <w:sz w:val="28"/>
          <w:szCs w:val="28"/>
          <w:lang w:val="en-US" w:eastAsia="zh-CN"/>
        </w:rPr>
        <w:t>不大于</w:t>
      </w:r>
      <w:r>
        <w:rPr>
          <w:rFonts w:hint="default" w:ascii="Times New Roman" w:hAnsi="Times New Roman" w:eastAsia="宋体" w:cs="Times New Roman"/>
          <w:sz w:val="28"/>
          <w:szCs w:val="28"/>
        </w:rPr>
        <w:t>1:2进行控制。</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lang w:eastAsia="zh-CN"/>
        </w:rPr>
        <w:t>）土资</w:t>
      </w:r>
      <w:r>
        <w:rPr>
          <w:rFonts w:hint="default" w:ascii="Times New Roman" w:hAnsi="Times New Roman" w:eastAsia="宋体" w:cs="Times New Roman"/>
          <w:sz w:val="28"/>
          <w:szCs w:val="28"/>
        </w:rPr>
        <w:t>源供需平衡分析</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rPr>
        <w:t>矿山的场地建设区未进行开采活动，为原有地类，主要为地面建筑和堆料，占地土源不含有毒有害物质。</w:t>
      </w:r>
      <w:r>
        <w:rPr>
          <w:rFonts w:hint="default" w:ascii="Times New Roman" w:hAnsi="Times New Roman" w:eastAsia="宋体" w:cs="Times New Roman"/>
          <w:sz w:val="28"/>
          <w:szCs w:val="28"/>
          <w:lang w:val="en-US" w:eastAsia="zh-CN"/>
        </w:rPr>
        <w:t>由于建筑占用扰动和破坏了原有土壤，且使用后可能残留部分混凝土砌体，复垦前应对残留砌体和扰动土进行清理。清理的土石填充露采场</w:t>
      </w:r>
      <w:r>
        <w:rPr>
          <w:rFonts w:hint="eastAsia" w:ascii="Times New Roman" w:hAnsi="Times New Roman" w:eastAsia="宋体" w:cs="Times New Roman"/>
          <w:sz w:val="28"/>
          <w:szCs w:val="28"/>
          <w:lang w:val="en-US" w:eastAsia="zh-CN"/>
        </w:rPr>
        <w:t>终了平台</w:t>
      </w:r>
      <w:r>
        <w:rPr>
          <w:rFonts w:hint="default" w:ascii="Times New Roman" w:hAnsi="Times New Roman" w:eastAsia="宋体" w:cs="Times New Roman"/>
          <w:sz w:val="28"/>
          <w:szCs w:val="28"/>
          <w:lang w:val="en-US" w:eastAsia="zh-CN"/>
        </w:rPr>
        <w:t>。工业广场建设前和排土场使用前应先将原有耕作层剥离存放在排土场表土堆放区，作为土地复垦覆土来源。</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露采场（包括开采台阶和</w:t>
      </w:r>
      <w:r>
        <w:rPr>
          <w:rFonts w:hint="eastAsia" w:ascii="Times New Roman" w:hAnsi="Times New Roman" w:eastAsia="宋体" w:cs="Times New Roman"/>
          <w:sz w:val="28"/>
          <w:szCs w:val="28"/>
          <w:lang w:val="en-US" w:eastAsia="zh-CN"/>
        </w:rPr>
        <w:t>终了平台</w:t>
      </w:r>
      <w:r>
        <w:rPr>
          <w:rFonts w:hint="default" w:ascii="Times New Roman" w:hAnsi="Times New Roman" w:eastAsia="宋体" w:cs="Times New Roman"/>
          <w:sz w:val="28"/>
          <w:szCs w:val="28"/>
          <w:lang w:val="en-US" w:eastAsia="zh-CN"/>
        </w:rPr>
        <w:t>）、工业广场和排土场复垦为林地，</w:t>
      </w:r>
      <w:r>
        <w:rPr>
          <w:rFonts w:hint="eastAsia" w:ascii="Times New Roman" w:hAnsi="Times New Roman" w:eastAsia="宋体" w:cs="Times New Roman"/>
          <w:sz w:val="28"/>
          <w:szCs w:val="28"/>
          <w:lang w:val="en-US" w:eastAsia="zh-CN"/>
        </w:rPr>
        <w:t>开采台阶</w:t>
      </w:r>
      <w:r>
        <w:rPr>
          <w:rFonts w:hint="default" w:ascii="Times New Roman" w:hAnsi="Times New Roman" w:eastAsia="宋体" w:cs="Times New Roman"/>
          <w:sz w:val="28"/>
          <w:szCs w:val="28"/>
          <w:lang w:val="en-US" w:eastAsia="zh-CN"/>
        </w:rPr>
        <w:t>覆土厚度为***m</w:t>
      </w:r>
      <w:r>
        <w:rPr>
          <w:rFonts w:hint="eastAsia" w:ascii="Times New Roman" w:hAnsi="Times New Roman" w:eastAsia="宋体" w:cs="Times New Roman"/>
          <w:sz w:val="28"/>
          <w:szCs w:val="28"/>
          <w:lang w:val="en-US" w:eastAsia="zh-CN"/>
        </w:rPr>
        <w:t>、露采场终了平台和工业广场、排土场覆土厚度均为***m</w:t>
      </w:r>
      <w:r>
        <w:rPr>
          <w:rFonts w:hint="default" w:ascii="Times New Roman" w:hAnsi="Times New Roman" w:eastAsia="宋体" w:cs="Times New Roman"/>
          <w:sz w:val="28"/>
          <w:szCs w:val="28"/>
          <w:lang w:val="en-US" w:eastAsia="zh-CN"/>
        </w:rPr>
        <w:t>，表土需求量为</w:t>
      </w:r>
      <w:r>
        <w:rPr>
          <w:rFonts w:hint="eastAsia" w:ascii="Times New Roman" w:hAnsi="Times New Roman" w:eastAsia="宋体" w:cs="Times New Roman"/>
          <w:sz w:val="28"/>
          <w:szCs w:val="28"/>
          <w:lang w:val="en-US" w:eastAsia="zh-CN"/>
        </w:rPr>
        <w:t>***万m³</w:t>
      </w:r>
      <w:r>
        <w:rPr>
          <w:rFonts w:hint="default" w:ascii="Times New Roman" w:hAnsi="Times New Roman" w:eastAsia="宋体" w:cs="Times New Roman"/>
          <w:sz w:val="28"/>
          <w:szCs w:val="28"/>
          <w:lang w:val="en-US" w:eastAsia="zh-CN"/>
        </w:rPr>
        <w:t>。露采场可剥离表土层平均厚度为***m；工业广场和排土场</w:t>
      </w:r>
      <w:r>
        <w:rPr>
          <w:rFonts w:hint="eastAsia" w:ascii="Times New Roman" w:hAnsi="Times New Roman" w:eastAsia="宋体" w:cs="Times New Roman"/>
          <w:sz w:val="28"/>
          <w:szCs w:val="28"/>
          <w:lang w:val="en-US" w:eastAsia="zh-CN"/>
        </w:rPr>
        <w:t>复垦</w:t>
      </w:r>
      <w:r>
        <w:rPr>
          <w:rFonts w:hint="default" w:ascii="Times New Roman" w:hAnsi="Times New Roman" w:eastAsia="宋体" w:cs="Times New Roman"/>
          <w:sz w:val="28"/>
          <w:szCs w:val="28"/>
          <w:lang w:val="en-US" w:eastAsia="zh-CN"/>
        </w:rPr>
        <w:t>为林地，</w:t>
      </w:r>
      <w:r>
        <w:rPr>
          <w:rFonts w:hint="eastAsia" w:ascii="Times New Roman" w:hAnsi="Times New Roman" w:eastAsia="宋体" w:cs="Times New Roman"/>
          <w:sz w:val="28"/>
          <w:szCs w:val="28"/>
          <w:lang w:val="en-US" w:eastAsia="zh-CN"/>
        </w:rPr>
        <w:t>工业广场</w:t>
      </w:r>
      <w:r>
        <w:rPr>
          <w:rFonts w:hint="default" w:ascii="Times New Roman" w:hAnsi="Times New Roman" w:eastAsia="宋体" w:cs="Times New Roman"/>
          <w:sz w:val="28"/>
          <w:szCs w:val="28"/>
          <w:lang w:val="en-US" w:eastAsia="zh-CN"/>
        </w:rPr>
        <w:t>使用前先进行表土剥离，平均剥离厚度为***m；剥离后的表土应在排土场专门区域存储，专门用于复垦耕作层来源。</w:t>
      </w:r>
      <w:r>
        <w:rPr>
          <w:rFonts w:hint="eastAsia" w:ascii="Times New Roman" w:hAnsi="Times New Roman" w:eastAsia="宋体" w:cs="Times New Roman"/>
          <w:sz w:val="28"/>
          <w:szCs w:val="28"/>
          <w:lang w:val="en-US" w:eastAsia="zh-CN"/>
        </w:rPr>
        <w:t>排土场复垦林地表土厚度***m。则</w:t>
      </w:r>
      <w:r>
        <w:rPr>
          <w:rFonts w:hint="default" w:ascii="Times New Roman" w:hAnsi="Times New Roman" w:eastAsia="宋体" w:cs="Times New Roman"/>
          <w:sz w:val="28"/>
          <w:szCs w:val="28"/>
          <w:lang w:val="en-US" w:eastAsia="zh-CN"/>
        </w:rPr>
        <w:t>可供复垦使用表土量为</w:t>
      </w:r>
      <w:r>
        <w:rPr>
          <w:rFonts w:hint="eastAsia" w:ascii="Times New Roman" w:hAnsi="Times New Roman" w:eastAsia="宋体" w:cs="Times New Roman"/>
          <w:sz w:val="28"/>
          <w:szCs w:val="28"/>
          <w:lang w:val="en-US" w:eastAsia="zh-CN"/>
        </w:rPr>
        <w:t>***万</w:t>
      </w:r>
      <w:r>
        <w:rPr>
          <w:rFonts w:hint="default" w:ascii="Times New Roman" w:hAnsi="Times New Roman" w:eastAsia="宋体" w:cs="Times New Roman"/>
          <w:sz w:val="28"/>
          <w:szCs w:val="28"/>
          <w:lang w:val="en-US" w:eastAsia="zh-CN"/>
        </w:rPr>
        <w:t>m³。表土供给量大于表土需求量，</w:t>
      </w:r>
      <w:r>
        <w:rPr>
          <w:rFonts w:hint="default" w:ascii="Times New Roman" w:hAnsi="Times New Roman" w:eastAsia="宋体" w:cs="Times New Roman"/>
          <w:sz w:val="28"/>
          <w:szCs w:val="28"/>
        </w:rPr>
        <w:t>完全能满足复绿复垦所需的</w:t>
      </w:r>
      <w:r>
        <w:rPr>
          <w:rFonts w:hint="default" w:ascii="Times New Roman" w:hAnsi="Times New Roman" w:eastAsia="宋体" w:cs="Times New Roman"/>
          <w:sz w:val="28"/>
          <w:szCs w:val="28"/>
          <w:lang w:val="en-US" w:eastAsia="zh-CN"/>
        </w:rPr>
        <w:t>表土</w:t>
      </w:r>
      <w:r>
        <w:rPr>
          <w:rFonts w:hint="default" w:ascii="Times New Roman" w:hAnsi="Times New Roman" w:eastAsia="宋体" w:cs="Times New Roman"/>
          <w:sz w:val="28"/>
          <w:szCs w:val="28"/>
        </w:rPr>
        <w:t>要求</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无需外购。</w:t>
      </w:r>
    </w:p>
    <w:p>
      <w:pPr>
        <w:spacing w:line="0" w:lineRule="atLeast"/>
        <w:ind w:firstLine="482" w:firstLineChars="200"/>
        <w:jc w:val="center"/>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表4-3 表土资源供需平衡分析表</w:t>
      </w:r>
    </w:p>
    <w:tbl>
      <w:tblPr>
        <w:tblStyle w:val="12"/>
        <w:tblW w:w="8868" w:type="dxa"/>
        <w:tblInd w:w="0" w:type="dxa"/>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27"/>
        <w:gridCol w:w="683"/>
        <w:gridCol w:w="762"/>
        <w:gridCol w:w="843"/>
        <w:gridCol w:w="970"/>
        <w:gridCol w:w="910"/>
        <w:gridCol w:w="745"/>
        <w:gridCol w:w="1159"/>
        <w:gridCol w:w="1132"/>
        <w:gridCol w:w="745"/>
        <w:gridCol w:w="392"/>
      </w:tblGrid>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9" w:hRule="atLeast"/>
        </w:trPr>
        <w:tc>
          <w:tcPr>
            <w:tcW w:w="1210" w:type="dxa"/>
            <w:gridSpan w:val="2"/>
            <w:vMerge w:val="restart"/>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复垦单元</w:t>
            </w:r>
          </w:p>
        </w:tc>
        <w:tc>
          <w:tcPr>
            <w:tcW w:w="1605" w:type="dxa"/>
            <w:gridSpan w:val="2"/>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单元面积</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w:t>
            </w:r>
          </w:p>
        </w:tc>
        <w:tc>
          <w:tcPr>
            <w:tcW w:w="2625" w:type="dxa"/>
            <w:gridSpan w:val="3"/>
            <w:tcBorders>
              <w:tl2br w:val="nil"/>
              <w:tr2bl w:val="nil"/>
            </w:tcBorders>
            <w:shd w:val="clear" w:color="auto" w:fill="auto"/>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表土需求量</w:t>
            </w:r>
          </w:p>
        </w:tc>
        <w:tc>
          <w:tcPr>
            <w:tcW w:w="3036" w:type="dxa"/>
            <w:gridSpan w:val="3"/>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表土供给量</w:t>
            </w:r>
          </w:p>
        </w:tc>
        <w:tc>
          <w:tcPr>
            <w:tcW w:w="392" w:type="dxa"/>
            <w:vMerge w:val="restart"/>
            <w:tcBorders>
              <w:tl2br w:val="nil"/>
              <w:tr2bl w:val="nil"/>
            </w:tcBorders>
            <w:shd w:val="clear" w:color="auto" w:fill="auto"/>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总体节余（万m³）</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9" w:hRule="atLeast"/>
        </w:trPr>
        <w:tc>
          <w:tcPr>
            <w:tcW w:w="1210" w:type="dxa"/>
            <w:gridSpan w:val="2"/>
            <w:vMerge w:val="continue"/>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762"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地块面积</w:t>
            </w:r>
          </w:p>
        </w:tc>
        <w:tc>
          <w:tcPr>
            <w:tcW w:w="843"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损毁</w:t>
            </w:r>
            <w:r>
              <w:rPr>
                <w:rFonts w:hint="default" w:ascii="Times New Roman" w:hAnsi="Times New Roman" w:eastAsia="宋体" w:cs="Times New Roman"/>
                <w:b/>
                <w:bCs/>
                <w:sz w:val="21"/>
                <w:szCs w:val="21"/>
                <w:lang w:val="en-US" w:eastAsia="zh-CN"/>
              </w:rPr>
              <w:t>面积</w:t>
            </w:r>
          </w:p>
        </w:tc>
        <w:tc>
          <w:tcPr>
            <w:tcW w:w="970"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覆土面积（㎡）</w:t>
            </w:r>
          </w:p>
        </w:tc>
        <w:tc>
          <w:tcPr>
            <w:tcW w:w="910"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覆土厚度（m）</w:t>
            </w:r>
          </w:p>
        </w:tc>
        <w:tc>
          <w:tcPr>
            <w:tcW w:w="745"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需求量</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（万m³）</w:t>
            </w:r>
          </w:p>
        </w:tc>
        <w:tc>
          <w:tcPr>
            <w:tcW w:w="1159"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剥离面积（㎡）</w:t>
            </w:r>
          </w:p>
        </w:tc>
        <w:tc>
          <w:tcPr>
            <w:tcW w:w="1132"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剥离厚度（m）</w:t>
            </w:r>
          </w:p>
        </w:tc>
        <w:tc>
          <w:tcPr>
            <w:tcW w:w="745"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供给量</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（万m³）</w:t>
            </w:r>
          </w:p>
        </w:tc>
        <w:tc>
          <w:tcPr>
            <w:tcW w:w="392" w:type="dxa"/>
            <w:vMerge w:val="continue"/>
            <w:tcBorders>
              <w:tl2br w:val="nil"/>
              <w:tr2bl w:val="nil"/>
            </w:tcBorders>
            <w:shd w:val="clear" w:color="auto" w:fill="auto"/>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9" w:hRule="atLeast"/>
        </w:trPr>
        <w:tc>
          <w:tcPr>
            <w:tcW w:w="527" w:type="dxa"/>
            <w:vMerge w:val="restart"/>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露采场</w:t>
            </w:r>
          </w:p>
        </w:tc>
        <w:tc>
          <w:tcPr>
            <w:tcW w:w="683"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台阶</w:t>
            </w:r>
          </w:p>
        </w:tc>
        <w:tc>
          <w:tcPr>
            <w:tcW w:w="762"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43"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970"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910"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745"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59"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32"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745"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392" w:type="dxa"/>
            <w:vMerge w:val="restart"/>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9" w:hRule="atLeast"/>
        </w:trPr>
        <w:tc>
          <w:tcPr>
            <w:tcW w:w="527" w:type="dxa"/>
            <w:vMerge w:val="continue"/>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683"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终了平台</w:t>
            </w:r>
          </w:p>
        </w:tc>
        <w:tc>
          <w:tcPr>
            <w:tcW w:w="762"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43"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970"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910"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745"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59"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32"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745"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392" w:type="dxa"/>
            <w:vMerge w:val="continue"/>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9" w:hRule="atLeast"/>
        </w:trPr>
        <w:tc>
          <w:tcPr>
            <w:tcW w:w="1210" w:type="dxa"/>
            <w:gridSpan w:val="2"/>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工业广场</w:t>
            </w:r>
          </w:p>
        </w:tc>
        <w:tc>
          <w:tcPr>
            <w:tcW w:w="762"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43"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970"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910"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745"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59"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32"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745"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392" w:type="dxa"/>
            <w:vMerge w:val="continue"/>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sz w:val="24"/>
                <w:szCs w:val="24"/>
                <w:lang w:val="en-US" w:eastAsia="zh-CN"/>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9" w:hRule="atLeast"/>
        </w:trPr>
        <w:tc>
          <w:tcPr>
            <w:tcW w:w="1210" w:type="dxa"/>
            <w:gridSpan w:val="2"/>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排土场</w:t>
            </w:r>
          </w:p>
        </w:tc>
        <w:tc>
          <w:tcPr>
            <w:tcW w:w="762"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43"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970"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910"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745"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59"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32"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745"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392" w:type="dxa"/>
            <w:vMerge w:val="continue"/>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sz w:val="24"/>
                <w:szCs w:val="24"/>
                <w:lang w:val="en-US" w:eastAsia="zh-CN"/>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9" w:hRule="atLeast"/>
        </w:trPr>
        <w:tc>
          <w:tcPr>
            <w:tcW w:w="1210" w:type="dxa"/>
            <w:gridSpan w:val="2"/>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矿山道路</w:t>
            </w:r>
          </w:p>
        </w:tc>
        <w:tc>
          <w:tcPr>
            <w:tcW w:w="762"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43"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970"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910"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745"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59"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32"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745"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392" w:type="dxa"/>
            <w:vMerge w:val="continue"/>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sz w:val="24"/>
                <w:szCs w:val="24"/>
                <w:lang w:val="en-US" w:eastAsia="zh-CN"/>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9" w:hRule="atLeast"/>
        </w:trPr>
        <w:tc>
          <w:tcPr>
            <w:tcW w:w="1210" w:type="dxa"/>
            <w:gridSpan w:val="2"/>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合计</w:t>
            </w:r>
          </w:p>
        </w:tc>
        <w:tc>
          <w:tcPr>
            <w:tcW w:w="762"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eastAsia"/>
              </w:rPr>
              <w:t>***</w:t>
            </w:r>
          </w:p>
        </w:tc>
        <w:tc>
          <w:tcPr>
            <w:tcW w:w="843"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eastAsia"/>
              </w:rPr>
              <w:t>***</w:t>
            </w:r>
          </w:p>
        </w:tc>
        <w:tc>
          <w:tcPr>
            <w:tcW w:w="970"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eastAsia"/>
              </w:rPr>
              <w:t>***</w:t>
            </w:r>
          </w:p>
        </w:tc>
        <w:tc>
          <w:tcPr>
            <w:tcW w:w="910"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eastAsia"/>
              </w:rPr>
              <w:t>***</w:t>
            </w:r>
          </w:p>
        </w:tc>
        <w:tc>
          <w:tcPr>
            <w:tcW w:w="745"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eastAsia"/>
              </w:rPr>
              <w:t>***</w:t>
            </w:r>
          </w:p>
        </w:tc>
        <w:tc>
          <w:tcPr>
            <w:tcW w:w="1159"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eastAsia"/>
              </w:rPr>
              <w:t>***</w:t>
            </w:r>
          </w:p>
        </w:tc>
        <w:tc>
          <w:tcPr>
            <w:tcW w:w="1132"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eastAsia"/>
              </w:rPr>
              <w:t>***</w:t>
            </w:r>
          </w:p>
        </w:tc>
        <w:tc>
          <w:tcPr>
            <w:tcW w:w="745" w:type="dxa"/>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eastAsia"/>
              </w:rPr>
              <w:t>***</w:t>
            </w:r>
          </w:p>
        </w:tc>
        <w:tc>
          <w:tcPr>
            <w:tcW w:w="392" w:type="dxa"/>
            <w:vMerge w:val="continue"/>
            <w:tcBorders>
              <w:tl2br w:val="nil"/>
              <w:tr2bl w:val="nil"/>
            </w:tcBorders>
            <w:shd w:val="clear" w:color="auto" w:fill="auto"/>
            <w:noWrap/>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sz w:val="24"/>
                <w:szCs w:val="24"/>
                <w:lang w:val="en-US" w:eastAsia="zh-CN"/>
              </w:rPr>
            </w:pPr>
          </w:p>
        </w:tc>
      </w:tr>
    </w:tbl>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复垦植被的选择</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根据矿区优势植被的分布情况，本次设计复垦</w:t>
      </w:r>
      <w:r>
        <w:rPr>
          <w:rFonts w:hint="default" w:ascii="Times New Roman" w:hAnsi="Times New Roman" w:eastAsia="宋体" w:cs="Times New Roman"/>
          <w:sz w:val="28"/>
          <w:szCs w:val="28"/>
          <w:lang w:val="en-US" w:eastAsia="zh-CN"/>
        </w:rPr>
        <w:t>乔木</w:t>
      </w:r>
      <w:r>
        <w:rPr>
          <w:rFonts w:hint="default" w:ascii="Times New Roman" w:hAnsi="Times New Roman" w:eastAsia="宋体" w:cs="Times New Roman"/>
          <w:sz w:val="28"/>
          <w:szCs w:val="28"/>
        </w:rPr>
        <w:t>植被选择</w:t>
      </w:r>
      <w:r>
        <w:rPr>
          <w:rFonts w:hint="eastAsia" w:ascii="Times New Roman" w:hAnsi="Times New Roman" w:eastAsia="宋体" w:cs="Times New Roman"/>
          <w:sz w:val="28"/>
          <w:szCs w:val="28"/>
          <w:lang w:val="en-US" w:eastAsia="zh-CN"/>
        </w:rPr>
        <w:t>杉树</w:t>
      </w:r>
      <w:r>
        <w:rPr>
          <w:rFonts w:hint="default" w:ascii="Times New Roman" w:hAnsi="Times New Roman" w:eastAsia="宋体" w:cs="Times New Roman"/>
          <w:sz w:val="28"/>
          <w:szCs w:val="28"/>
          <w:lang w:val="en-US" w:eastAsia="zh-CN"/>
        </w:rPr>
        <w:t>、楠木、红榉，灌木选择火棘、胡枝子、女贞、杜鹃</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乔木、灌木均选择带土球树苗，乔木要求树苗高度不小于80cm、胸径不小于3cm；灌木要求树苗高度不小于40cm、冠幅不小于30cm；乔木和灌木的种植间距均是3m×3m。</w:t>
      </w:r>
      <w:r>
        <w:rPr>
          <w:rFonts w:hint="default" w:ascii="Times New Roman" w:hAnsi="Times New Roman" w:eastAsia="宋体" w:cs="Times New Roman"/>
          <w:sz w:val="28"/>
          <w:szCs w:val="28"/>
        </w:rPr>
        <w:t>播撒草籽选择狗牙草、高羊茅，露采场边坡</w:t>
      </w:r>
      <w:r>
        <w:rPr>
          <w:rFonts w:hint="eastAsia" w:ascii="Times New Roman" w:hAnsi="Times New Roman" w:eastAsia="宋体" w:cs="Times New Roman"/>
          <w:sz w:val="28"/>
          <w:szCs w:val="28"/>
          <w:lang w:val="en-US" w:eastAsia="zh-CN"/>
        </w:rPr>
        <w:t>爬藤植物</w:t>
      </w:r>
      <w:r>
        <w:rPr>
          <w:rFonts w:hint="default" w:ascii="Times New Roman" w:hAnsi="Times New Roman" w:eastAsia="宋体" w:cs="Times New Roman"/>
          <w:sz w:val="28"/>
          <w:szCs w:val="28"/>
        </w:rPr>
        <w:t>选择葛根、五叶地锦、常春藤。</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5</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复垦工程设计</w:t>
      </w:r>
    </w:p>
    <w:p>
      <w:pPr>
        <w:numPr>
          <w:ilvl w:val="0"/>
          <w:numId w:val="0"/>
        </w:num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kern w:val="2"/>
          <w:sz w:val="28"/>
          <w:szCs w:val="28"/>
          <w:lang w:val="en-US" w:eastAsia="zh-CN" w:bidi="ar-SA"/>
        </w:rPr>
        <w:t>1）</w:t>
      </w:r>
      <w:r>
        <w:rPr>
          <w:rFonts w:hint="default" w:ascii="Times New Roman" w:hAnsi="Times New Roman" w:eastAsia="宋体" w:cs="Times New Roman"/>
          <w:sz w:val="28"/>
          <w:szCs w:val="28"/>
          <w:lang w:val="en-US" w:eastAsia="zh-CN"/>
        </w:rPr>
        <w:t>开采台阶复垦工程设计</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根据露采场各台阶开采顺序表依次对各台阶及终了平台进行复垦。开采时先剥离覆土地段，可优先用于上年度开采台阶复垦，剩余耕作层表土存放于排土场表土存放处，专门用于土地复垦的覆土。各项工程设计如下：</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A.覆土及排水沟</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针对已停用的露采场区域，在各台阶堆放浮土，厚度***m，表面3%—5%内倾，内侧边坡留0.3m的距离，与露采场边坡形成排水沟，便于坡面排水</w:t>
      </w:r>
      <w:r>
        <w:rPr>
          <w:rFonts w:hint="eastAsia" w:ascii="Times New Roman" w:hAnsi="Times New Roman" w:eastAsia="宋体" w:cs="Times New Roman"/>
          <w:sz w:val="28"/>
          <w:szCs w:val="28"/>
          <w:lang w:val="en-US" w:eastAsia="zh-CN"/>
        </w:rPr>
        <w:t>，台阶排水沟末端向下连通环终了平台截水沟</w:t>
      </w:r>
      <w:r>
        <w:rPr>
          <w:rFonts w:hint="default" w:ascii="Times New Roman" w:hAnsi="Times New Roman" w:eastAsia="宋体" w:cs="Times New Roman"/>
          <w:sz w:val="28"/>
          <w:szCs w:val="28"/>
          <w:lang w:val="en-US" w:eastAsia="zh-CN"/>
        </w:rPr>
        <w:t>。</w:t>
      </w:r>
    </w:p>
    <w:p>
      <w:pPr>
        <w:spacing w:line="360" w:lineRule="auto"/>
        <w:ind w:firstLine="560" w:firstLineChars="200"/>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为了稳定整理及覆土台阶平台，防止覆土扩散，设计在矿山台阶边坡胚缘建</w:t>
      </w:r>
      <w:r>
        <w:rPr>
          <w:rFonts w:hint="eastAsia" w:ascii="Times New Roman" w:hAnsi="Times New Roman" w:eastAsia="宋体" w:cs="Times New Roman"/>
          <w:sz w:val="28"/>
          <w:szCs w:val="28"/>
          <w:lang w:val="en-US" w:eastAsia="zh-CN"/>
        </w:rPr>
        <w:t>格宾网</w:t>
      </w:r>
      <w:r>
        <w:rPr>
          <w:rFonts w:hint="default" w:ascii="Times New Roman" w:hAnsi="Times New Roman" w:eastAsia="宋体" w:cs="Times New Roman"/>
          <w:sz w:val="28"/>
          <w:szCs w:val="28"/>
          <w:lang w:val="en-US" w:eastAsia="zh-CN"/>
        </w:rPr>
        <w:t>挡土墙，格宾网规格选择</w:t>
      </w:r>
      <w:r>
        <w:rPr>
          <w:rFonts w:hint="eastAsia" w:ascii="Times New Roman" w:hAnsi="Times New Roman" w:eastAsia="宋体" w:cs="Times New Roman"/>
          <w:sz w:val="28"/>
          <w:szCs w:val="28"/>
          <w:lang w:val="en-US" w:eastAsia="zh-CN"/>
        </w:rPr>
        <w:t>卷状规格，镀锌低碳钢丝，网孔60mm×80mm，丝径2.2mm，市场价约***元/㎡。设计格宾网挡土墙规格50cm（高）×40cm（宽），则每米挡墙使用格宾网***㎡，干砌块石***m³。</w:t>
      </w:r>
    </w:p>
    <w:p>
      <w:pPr>
        <w:spacing w:line="360" w:lineRule="auto"/>
        <w:jc w:val="center"/>
        <w:rPr>
          <w:rFonts w:hint="default" w:ascii="Times New Roman" w:hAnsi="Times New Roman" w:eastAsia="宋体" w:cs="Times New Roman"/>
          <w:sz w:val="28"/>
          <w:szCs w:val="28"/>
          <w:lang w:val="en-US" w:eastAsia="zh-CN"/>
        </w:rPr>
      </w:pPr>
    </w:p>
    <w:p>
      <w:pPr>
        <w:spacing w:line="360" w:lineRule="auto"/>
        <w:ind w:firstLine="482" w:firstLineChars="200"/>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图4-4</w:t>
      </w:r>
      <w:r>
        <w:rPr>
          <w:rFonts w:hint="eastAsia" w:ascii="Times New Roman" w:hAnsi="Times New Roman" w:eastAsia="宋体" w:cs="Times New Roman"/>
          <w:b/>
          <w:bCs/>
          <w:sz w:val="24"/>
          <w:szCs w:val="24"/>
          <w:lang w:val="en-US" w:eastAsia="zh-CN"/>
        </w:rPr>
        <w:t>格宾挡墙效果及设计</w:t>
      </w:r>
      <w:r>
        <w:rPr>
          <w:rFonts w:hint="default" w:ascii="Times New Roman" w:hAnsi="Times New Roman" w:eastAsia="宋体" w:cs="Times New Roman"/>
          <w:b/>
          <w:bCs/>
          <w:sz w:val="24"/>
          <w:szCs w:val="24"/>
          <w:lang w:val="en-US" w:eastAsia="zh-CN"/>
        </w:rPr>
        <w:t>图</w:t>
      </w:r>
    </w:p>
    <w:p>
      <w:pPr>
        <w:numPr>
          <w:ilvl w:val="0"/>
          <w:numId w:val="0"/>
        </w:num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kern w:val="2"/>
          <w:sz w:val="28"/>
          <w:szCs w:val="28"/>
          <w:lang w:val="en-US" w:eastAsia="zh-CN" w:bidi="ar-SA"/>
        </w:rPr>
        <w:t>B.</w:t>
      </w:r>
      <w:r>
        <w:rPr>
          <w:rFonts w:hint="default" w:ascii="Times New Roman" w:hAnsi="Times New Roman" w:eastAsia="宋体" w:cs="Times New Roman"/>
          <w:sz w:val="28"/>
          <w:szCs w:val="28"/>
          <w:lang w:val="en-US" w:eastAsia="zh-CN"/>
        </w:rPr>
        <w:t>植物工程</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复垦林地优先选择乡土灌木树种，如火棘、胡枝子、女贞、杜鹃。灌木选择带土球树苗，要求树苗高度不小于40cm、冠幅不小于30cm；种植间距是3m×3m。树间撒播种草，平台两侧种植爬藤类植物葛根、五叶地锦，上垂下攀，间距是0.5m×0.5m，这样可保持林地生态平衡。栽植季节为春季。</w:t>
      </w:r>
    </w:p>
    <w:p>
      <w:pPr>
        <w:spacing w:line="360" w:lineRule="auto"/>
        <w:rPr>
          <w:rFonts w:hint="default" w:ascii="Times New Roman" w:hAnsi="Times New Roman" w:eastAsia="宋体" w:cs="Times New Roman"/>
          <w:sz w:val="28"/>
          <w:szCs w:val="28"/>
          <w:lang w:val="en-US" w:eastAsia="zh-CN"/>
        </w:rPr>
      </w:pPr>
    </w:p>
    <w:p>
      <w:pPr>
        <w:spacing w:line="360" w:lineRule="auto"/>
        <w:ind w:firstLine="482" w:firstLineChars="200"/>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图4-</w:t>
      </w:r>
      <w:r>
        <w:rPr>
          <w:rFonts w:hint="eastAsia" w:ascii="Times New Roman" w:hAnsi="Times New Roman" w:eastAsia="宋体" w:cs="Times New Roman"/>
          <w:b/>
          <w:bCs/>
          <w:sz w:val="24"/>
          <w:szCs w:val="24"/>
          <w:lang w:val="en-US" w:eastAsia="zh-CN"/>
        </w:rPr>
        <w:t>5</w:t>
      </w:r>
      <w:r>
        <w:rPr>
          <w:rFonts w:hint="default" w:ascii="Times New Roman" w:hAnsi="Times New Roman" w:eastAsia="宋体" w:cs="Times New Roman"/>
          <w:b/>
          <w:bCs/>
          <w:sz w:val="24"/>
          <w:szCs w:val="24"/>
          <w:lang w:val="en-US" w:eastAsia="zh-CN"/>
        </w:rPr>
        <w:t>开采台阶复垦示意图</w:t>
      </w:r>
    </w:p>
    <w:p>
      <w:pPr>
        <w:spacing w:line="360" w:lineRule="auto"/>
        <w:jc w:val="both"/>
        <w:rPr>
          <w:rFonts w:hint="default" w:ascii="Times New Roman" w:hAnsi="Times New Roman" w:eastAsia="宋体" w:cs="Times New Roman"/>
          <w:b/>
          <w:bCs/>
          <w:sz w:val="24"/>
          <w:szCs w:val="24"/>
          <w:lang w:val="en-US" w:eastAsia="zh-CN"/>
        </w:rPr>
      </w:pPr>
    </w:p>
    <w:p>
      <w:pPr>
        <w:spacing w:line="360" w:lineRule="auto"/>
        <w:ind w:firstLine="482" w:firstLineChars="200"/>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图4-</w:t>
      </w:r>
      <w:r>
        <w:rPr>
          <w:rFonts w:hint="eastAsia" w:ascii="Times New Roman" w:hAnsi="Times New Roman" w:eastAsia="宋体" w:cs="Times New Roman"/>
          <w:b/>
          <w:bCs/>
          <w:sz w:val="24"/>
          <w:szCs w:val="24"/>
          <w:lang w:val="en-US" w:eastAsia="zh-CN"/>
        </w:rPr>
        <w:t>6</w:t>
      </w:r>
      <w:r>
        <w:rPr>
          <w:rFonts w:hint="default" w:ascii="Times New Roman" w:hAnsi="Times New Roman" w:eastAsia="宋体" w:cs="Times New Roman"/>
          <w:b/>
          <w:bCs/>
          <w:sz w:val="24"/>
          <w:szCs w:val="24"/>
          <w:lang w:val="en-US" w:eastAsia="zh-CN"/>
        </w:rPr>
        <w:t>露采场生态修复复垦工程平面示意图</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2）终了平台复垦</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A.覆土</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矿山开采完后，堆放浮土，厚度***m，表面3%—5%内倾，场地</w:t>
      </w:r>
      <w:r>
        <w:rPr>
          <w:rFonts w:hint="eastAsia" w:ascii="Times New Roman" w:hAnsi="Times New Roman" w:eastAsia="宋体" w:cs="Times New Roman"/>
          <w:sz w:val="28"/>
          <w:szCs w:val="28"/>
          <w:lang w:val="en-US" w:eastAsia="zh-CN"/>
        </w:rPr>
        <w:t>进行</w:t>
      </w:r>
      <w:r>
        <w:rPr>
          <w:rFonts w:hint="default" w:ascii="Times New Roman" w:hAnsi="Times New Roman" w:eastAsia="宋体" w:cs="Times New Roman"/>
          <w:sz w:val="28"/>
          <w:szCs w:val="28"/>
          <w:lang w:val="en-US" w:eastAsia="zh-CN"/>
        </w:rPr>
        <w:t>平整。</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B植物工程</w:t>
      </w:r>
    </w:p>
    <w:p>
      <w:pPr>
        <w:spacing w:line="360" w:lineRule="auto"/>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终了平台</w:t>
      </w:r>
      <w:r>
        <w:rPr>
          <w:rFonts w:hint="default" w:ascii="Times New Roman" w:hAnsi="Times New Roman" w:eastAsia="宋体" w:cs="Times New Roman"/>
          <w:sz w:val="28"/>
          <w:szCs w:val="28"/>
          <w:lang w:val="en-US" w:eastAsia="zh-CN"/>
        </w:rPr>
        <w:t>复垦林地采用乔灌草结合方式进行，优先选择乡土树种，乔木植被选择</w:t>
      </w:r>
      <w:r>
        <w:rPr>
          <w:rFonts w:hint="eastAsia" w:ascii="Times New Roman" w:hAnsi="Times New Roman" w:eastAsia="宋体" w:cs="Times New Roman"/>
          <w:sz w:val="28"/>
          <w:szCs w:val="28"/>
          <w:lang w:val="en-US" w:eastAsia="zh-CN"/>
        </w:rPr>
        <w:t>杉树</w:t>
      </w:r>
      <w:r>
        <w:rPr>
          <w:rFonts w:hint="default" w:ascii="Times New Roman" w:hAnsi="Times New Roman" w:eastAsia="宋体" w:cs="Times New Roman"/>
          <w:sz w:val="28"/>
          <w:szCs w:val="28"/>
          <w:lang w:val="en-US" w:eastAsia="zh-CN"/>
        </w:rPr>
        <w:t>、楠木、红榉，灌木选择火棘、胡枝子、女贞、杜鹃，详见前文论述。</w:t>
      </w:r>
      <w:r>
        <w:rPr>
          <w:rFonts w:hint="eastAsia" w:ascii="Times New Roman" w:hAnsi="Times New Roman" w:eastAsia="宋体" w:cs="Times New Roman"/>
          <w:sz w:val="28"/>
          <w:szCs w:val="28"/>
          <w:lang w:val="en-US" w:eastAsia="zh-CN"/>
        </w:rPr>
        <w:t>乔木、灌木均选择带土球树苗，乔木</w:t>
      </w:r>
      <w:r>
        <w:rPr>
          <w:rFonts w:hint="default" w:ascii="Times New Roman" w:hAnsi="Times New Roman" w:eastAsia="宋体" w:cs="Times New Roman"/>
          <w:sz w:val="28"/>
          <w:szCs w:val="28"/>
          <w:lang w:val="en-US" w:eastAsia="zh-CN"/>
        </w:rPr>
        <w:t>要求树苗高度不小于80cm、胸径不小于3cm</w:t>
      </w:r>
      <w:r>
        <w:rPr>
          <w:rFonts w:hint="eastAsia" w:ascii="Times New Roman" w:hAnsi="Times New Roman" w:eastAsia="宋体" w:cs="Times New Roman"/>
          <w:sz w:val="28"/>
          <w:szCs w:val="28"/>
          <w:lang w:val="en-US" w:eastAsia="zh-CN"/>
        </w:rPr>
        <w:t>；灌木要求树苗高度不小于40cm、冠幅不小于30cm；</w:t>
      </w:r>
      <w:r>
        <w:rPr>
          <w:rFonts w:hint="default" w:ascii="Times New Roman" w:hAnsi="Times New Roman" w:eastAsia="宋体" w:cs="Times New Roman"/>
          <w:sz w:val="28"/>
          <w:szCs w:val="28"/>
          <w:lang w:val="en-US" w:eastAsia="zh-CN"/>
        </w:rPr>
        <w:t>乔木和灌木的种植间距均是3m×3m。树间撒播种草。栽植季节为春季。</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每公顷范围内种植苗木数量可根据下列公式计算。</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K=nS/hahb</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式中：K—苗木数量（株）；n—平台面或边坡面积占总面积比例；</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S—总面积（㎡）；ha—株距（m）；hb—行距（m）。</w:t>
      </w:r>
    </w:p>
    <w:p>
      <w:pPr>
        <w:spacing w:line="360" w:lineRule="auto"/>
        <w:rPr>
          <w:rFonts w:hint="default" w:ascii="Times New Roman" w:hAnsi="Times New Roman" w:eastAsia="宋体" w:cs="Times New Roman"/>
          <w:sz w:val="28"/>
          <w:szCs w:val="28"/>
          <w:lang w:val="en-US" w:eastAsia="zh-CN"/>
        </w:rPr>
      </w:pPr>
    </w:p>
    <w:p>
      <w:pPr>
        <w:spacing w:line="360" w:lineRule="auto"/>
        <w:ind w:firstLine="482" w:firstLineChars="200"/>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图4-</w:t>
      </w:r>
      <w:r>
        <w:rPr>
          <w:rFonts w:hint="eastAsia" w:ascii="Times New Roman" w:hAnsi="Times New Roman" w:eastAsia="宋体" w:cs="Times New Roman"/>
          <w:b/>
          <w:bCs/>
          <w:sz w:val="24"/>
          <w:szCs w:val="24"/>
          <w:lang w:val="en-US" w:eastAsia="zh-CN"/>
        </w:rPr>
        <w:t>7终了平台</w:t>
      </w:r>
      <w:r>
        <w:rPr>
          <w:rFonts w:hint="default" w:ascii="Times New Roman" w:hAnsi="Times New Roman" w:eastAsia="宋体" w:cs="Times New Roman"/>
          <w:b/>
          <w:bCs/>
          <w:sz w:val="24"/>
          <w:szCs w:val="24"/>
          <w:lang w:val="en-US" w:eastAsia="zh-CN"/>
        </w:rPr>
        <w:t>复垦示意图</w:t>
      </w:r>
    </w:p>
    <w:p>
      <w:pPr>
        <w:numPr>
          <w:ilvl w:val="0"/>
          <w:numId w:val="0"/>
        </w:num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kern w:val="2"/>
          <w:sz w:val="28"/>
          <w:szCs w:val="28"/>
          <w:lang w:val="en-US" w:eastAsia="zh-CN" w:bidi="ar-SA"/>
        </w:rPr>
        <w:t>3）</w:t>
      </w:r>
      <w:r>
        <w:rPr>
          <w:rFonts w:hint="default" w:ascii="Times New Roman" w:hAnsi="Times New Roman" w:eastAsia="宋体" w:cs="Times New Roman"/>
          <w:sz w:val="28"/>
          <w:szCs w:val="28"/>
          <w:lang w:val="en-US" w:eastAsia="zh-CN"/>
        </w:rPr>
        <w:t>排土场</w:t>
      </w:r>
      <w:r>
        <w:rPr>
          <w:rFonts w:hint="default" w:ascii="Times New Roman" w:hAnsi="Times New Roman" w:eastAsia="宋体" w:cs="Times New Roman"/>
          <w:sz w:val="28"/>
          <w:szCs w:val="28"/>
        </w:rPr>
        <w:t>复垦工程设计</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A.覆土</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矿山开采</w:t>
      </w:r>
      <w:r>
        <w:rPr>
          <w:rFonts w:hint="eastAsia" w:ascii="Times New Roman" w:hAnsi="Times New Roman" w:eastAsia="宋体" w:cs="Times New Roman"/>
          <w:sz w:val="28"/>
          <w:szCs w:val="28"/>
          <w:lang w:val="en-US" w:eastAsia="zh-CN"/>
        </w:rPr>
        <w:t>完成</w:t>
      </w:r>
      <w:r>
        <w:rPr>
          <w:rFonts w:hint="default" w:ascii="Times New Roman" w:hAnsi="Times New Roman" w:eastAsia="宋体" w:cs="Times New Roman"/>
          <w:sz w:val="28"/>
          <w:szCs w:val="28"/>
          <w:lang w:val="en-US" w:eastAsia="zh-CN"/>
        </w:rPr>
        <w:t>后，将场地初步平整</w:t>
      </w:r>
      <w:r>
        <w:rPr>
          <w:rFonts w:hint="eastAsia" w:ascii="Times New Roman" w:hAnsi="Times New Roman" w:eastAsia="宋体" w:cs="Times New Roman"/>
          <w:sz w:val="28"/>
          <w:szCs w:val="28"/>
          <w:lang w:val="en-US" w:eastAsia="zh-CN"/>
        </w:rPr>
        <w:t>（因场地堆放表土，不需另行覆土）</w:t>
      </w:r>
      <w:r>
        <w:rPr>
          <w:rFonts w:hint="default" w:ascii="Times New Roman" w:hAnsi="Times New Roman" w:eastAsia="宋体" w:cs="Times New Roman"/>
          <w:sz w:val="28"/>
          <w:szCs w:val="28"/>
          <w:lang w:val="en-US" w:eastAsia="zh-CN"/>
        </w:rPr>
        <w:t>。</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B植物工程</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排土场复垦林地采用乔灌草结合方式进行，植物工程具体工程设计参照前文</w:t>
      </w:r>
      <w:r>
        <w:rPr>
          <w:rFonts w:hint="eastAsia" w:ascii="Times New Roman" w:hAnsi="Times New Roman" w:eastAsia="宋体" w:cs="Times New Roman"/>
          <w:sz w:val="28"/>
          <w:szCs w:val="28"/>
          <w:lang w:val="en-US" w:eastAsia="zh-CN"/>
        </w:rPr>
        <w:t>终了平台</w:t>
      </w:r>
      <w:r>
        <w:rPr>
          <w:rFonts w:hint="default" w:ascii="Times New Roman" w:hAnsi="Times New Roman" w:eastAsia="宋体" w:cs="Times New Roman"/>
          <w:sz w:val="28"/>
          <w:szCs w:val="28"/>
          <w:lang w:val="en-US" w:eastAsia="zh-CN"/>
        </w:rPr>
        <w:t>复垦工程设计，不再赘述。</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4）工业广场复垦工程设计</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A</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硬化物拆（清）除工程及垃圾外运</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工业广场员工宿舍</w:t>
      </w:r>
      <w:r>
        <w:rPr>
          <w:rFonts w:hint="default" w:ascii="Times New Roman" w:hAnsi="Times New Roman" w:eastAsia="宋体" w:cs="Times New Roman"/>
          <w:sz w:val="28"/>
          <w:szCs w:val="28"/>
          <w:lang w:val="en-US" w:eastAsia="zh-CN"/>
        </w:rPr>
        <w:t>等区域拟进行硬化</w:t>
      </w: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val="en-US" w:eastAsia="zh-CN"/>
        </w:rPr>
        <w:t>复垦时需要先拆除硬化物；</w:t>
      </w:r>
      <w:r>
        <w:rPr>
          <w:rFonts w:hint="default" w:ascii="Times New Roman" w:hAnsi="Times New Roman" w:eastAsia="宋体" w:cs="Times New Roman"/>
          <w:sz w:val="28"/>
          <w:szCs w:val="28"/>
        </w:rPr>
        <w:t>矿区内加工区场地未硬化，不需要拆除的硬化物；仅需要拆除加工机械即可。</w:t>
      </w:r>
      <w:r>
        <w:rPr>
          <w:rFonts w:hint="default" w:ascii="Times New Roman" w:hAnsi="Times New Roman" w:eastAsia="宋体" w:cs="Times New Roman"/>
          <w:sz w:val="28"/>
          <w:szCs w:val="28"/>
          <w:lang w:val="en-US" w:eastAsia="zh-CN"/>
        </w:rPr>
        <w:t>拆除的硬化物运回填到露采场</w:t>
      </w:r>
      <w:r>
        <w:rPr>
          <w:rFonts w:hint="eastAsia" w:ascii="Times New Roman" w:hAnsi="Times New Roman" w:eastAsia="宋体" w:cs="Times New Roman"/>
          <w:sz w:val="28"/>
          <w:szCs w:val="28"/>
          <w:lang w:val="en-US" w:eastAsia="zh-CN"/>
        </w:rPr>
        <w:t>终了平台</w:t>
      </w:r>
      <w:r>
        <w:rPr>
          <w:rFonts w:hint="default" w:ascii="Times New Roman" w:hAnsi="Times New Roman" w:eastAsia="宋体" w:cs="Times New Roman"/>
          <w:sz w:val="28"/>
          <w:szCs w:val="28"/>
          <w:lang w:val="en-US" w:eastAsia="zh-CN"/>
        </w:rPr>
        <w:t>。工业广场后期复垦时</w:t>
      </w:r>
      <w:r>
        <w:rPr>
          <w:rFonts w:hint="default" w:ascii="Times New Roman" w:hAnsi="Times New Roman" w:eastAsia="宋体" w:cs="Times New Roman"/>
          <w:sz w:val="28"/>
          <w:szCs w:val="28"/>
        </w:rPr>
        <w:t>可以跟进</w:t>
      </w:r>
      <w:r>
        <w:rPr>
          <w:rFonts w:hint="default" w:ascii="Times New Roman" w:hAnsi="Times New Roman" w:eastAsia="宋体" w:cs="Times New Roman"/>
          <w:sz w:val="28"/>
          <w:szCs w:val="28"/>
          <w:lang w:val="en-US" w:eastAsia="zh-CN"/>
        </w:rPr>
        <w:t>当地村民</w:t>
      </w:r>
      <w:r>
        <w:rPr>
          <w:rFonts w:hint="default" w:ascii="Times New Roman" w:hAnsi="Times New Roman" w:eastAsia="宋体" w:cs="Times New Roman"/>
          <w:sz w:val="28"/>
          <w:szCs w:val="28"/>
        </w:rPr>
        <w:t>意见</w:t>
      </w:r>
      <w:r>
        <w:rPr>
          <w:rFonts w:hint="default" w:ascii="Times New Roman" w:hAnsi="Times New Roman" w:eastAsia="宋体" w:cs="Times New Roman"/>
          <w:sz w:val="28"/>
          <w:szCs w:val="28"/>
          <w:lang w:val="en-US" w:eastAsia="zh-CN"/>
        </w:rPr>
        <w:t>在完善相关手续的前提下</w:t>
      </w:r>
      <w:r>
        <w:rPr>
          <w:rFonts w:hint="default" w:ascii="Times New Roman" w:hAnsi="Times New Roman" w:eastAsia="宋体" w:cs="Times New Roman"/>
          <w:sz w:val="28"/>
          <w:szCs w:val="28"/>
        </w:rPr>
        <w:t>保留</w:t>
      </w:r>
      <w:r>
        <w:rPr>
          <w:rFonts w:hint="default" w:ascii="Times New Roman" w:hAnsi="Times New Roman" w:eastAsia="宋体" w:cs="Times New Roman"/>
          <w:sz w:val="28"/>
          <w:szCs w:val="28"/>
          <w:lang w:val="en-US" w:eastAsia="zh-CN"/>
        </w:rPr>
        <w:t>部分用房及场地</w:t>
      </w:r>
      <w:r>
        <w:rPr>
          <w:rFonts w:hint="default" w:ascii="Times New Roman" w:hAnsi="Times New Roman" w:eastAsia="宋体" w:cs="Times New Roman"/>
          <w:sz w:val="28"/>
          <w:szCs w:val="28"/>
        </w:rPr>
        <w:t>。</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场地清理后，将存放于堆土场表土堆放区的表土均匀摊铺，厚度为***m，场地平整。</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B植物工程</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工业广场复垦林地采用乔灌草结合方式进行，植物工程具体工程设计参照前文</w:t>
      </w:r>
      <w:r>
        <w:rPr>
          <w:rFonts w:hint="eastAsia" w:ascii="Times New Roman" w:hAnsi="Times New Roman" w:eastAsia="宋体" w:cs="Times New Roman"/>
          <w:sz w:val="28"/>
          <w:szCs w:val="28"/>
          <w:lang w:val="en-US" w:eastAsia="zh-CN"/>
        </w:rPr>
        <w:t>终了平台</w:t>
      </w:r>
      <w:r>
        <w:rPr>
          <w:rFonts w:hint="default" w:ascii="Times New Roman" w:hAnsi="Times New Roman" w:eastAsia="宋体" w:cs="Times New Roman"/>
          <w:sz w:val="28"/>
          <w:szCs w:val="28"/>
          <w:lang w:val="en-US" w:eastAsia="zh-CN"/>
        </w:rPr>
        <w:t>复垦工程设计，不再赘述。</w:t>
      </w:r>
    </w:p>
    <w:p>
      <w:pPr>
        <w:numPr>
          <w:ilvl w:val="0"/>
          <w:numId w:val="0"/>
        </w:numPr>
        <w:spacing w:line="360" w:lineRule="auto"/>
        <w:rPr>
          <w:rFonts w:hint="default" w:ascii="Times New Roman" w:hAnsi="Times New Roman" w:eastAsia="宋体" w:cs="Times New Roman"/>
          <w:b/>
          <w:sz w:val="28"/>
          <w:szCs w:val="28"/>
          <w:lang w:val="en-US" w:eastAsia="zh-CN"/>
        </w:rPr>
      </w:pPr>
    </w:p>
    <w:p>
      <w:pPr>
        <w:spacing w:line="0" w:lineRule="atLeast"/>
        <w:ind w:firstLine="482" w:firstLineChars="200"/>
        <w:jc w:val="center"/>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图4-</w:t>
      </w:r>
      <w:r>
        <w:rPr>
          <w:rFonts w:hint="eastAsia" w:ascii="Times New Roman" w:hAnsi="Times New Roman" w:eastAsia="宋体" w:cs="Times New Roman"/>
          <w:b/>
          <w:sz w:val="24"/>
          <w:szCs w:val="24"/>
          <w:lang w:val="en-US" w:eastAsia="zh-CN"/>
        </w:rPr>
        <w:t>8</w:t>
      </w:r>
      <w:r>
        <w:rPr>
          <w:rFonts w:hint="default" w:ascii="Times New Roman" w:hAnsi="Times New Roman" w:eastAsia="宋体" w:cs="Times New Roman"/>
          <w:b/>
          <w:sz w:val="24"/>
          <w:szCs w:val="24"/>
          <w:lang w:val="en-US" w:eastAsia="zh-CN"/>
        </w:rPr>
        <w:t xml:space="preserve"> 矿山各占地单元复垦方向示意图</w:t>
      </w:r>
    </w:p>
    <w:p>
      <w:pPr>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br w:type="page"/>
      </w:r>
    </w:p>
    <w:p>
      <w:pPr>
        <w:spacing w:line="0" w:lineRule="atLeast"/>
        <w:ind w:firstLine="482" w:firstLineChars="200"/>
        <w:jc w:val="center"/>
        <w:rPr>
          <w:rFonts w:hint="default" w:ascii="Times New Roman" w:hAnsi="Times New Roman" w:eastAsia="宋体" w:cs="Times New Roman"/>
          <w:b/>
          <w:sz w:val="24"/>
          <w:szCs w:val="24"/>
          <w:lang w:val="en-US" w:eastAsia="zh-CN"/>
        </w:rPr>
      </w:pPr>
      <w:r>
        <w:rPr>
          <w:rFonts w:hint="eastAsia" w:ascii="Times New Roman" w:hAnsi="Times New Roman" w:eastAsia="宋体" w:cs="Times New Roman"/>
          <w:b/>
          <w:sz w:val="24"/>
          <w:szCs w:val="24"/>
          <w:lang w:val="en-US" w:eastAsia="zh-CN"/>
        </w:rPr>
        <w:t>表</w:t>
      </w:r>
      <w:r>
        <w:rPr>
          <w:rFonts w:hint="default" w:ascii="Times New Roman" w:hAnsi="Times New Roman" w:eastAsia="宋体" w:cs="Times New Roman"/>
          <w:b/>
          <w:sz w:val="24"/>
          <w:szCs w:val="24"/>
          <w:lang w:val="en-US" w:eastAsia="zh-CN"/>
        </w:rPr>
        <w:t>4-</w:t>
      </w:r>
      <w:r>
        <w:rPr>
          <w:rFonts w:hint="eastAsia" w:ascii="Times New Roman" w:hAnsi="Times New Roman" w:eastAsia="宋体" w:cs="Times New Roman"/>
          <w:b/>
          <w:sz w:val="24"/>
          <w:szCs w:val="24"/>
          <w:lang w:val="en-US" w:eastAsia="zh-CN"/>
        </w:rPr>
        <w:t>4 土地复垦与生物多样性恢复工程量计算表</w:t>
      </w:r>
    </w:p>
    <w:tbl>
      <w:tblPr>
        <w:tblStyle w:val="12"/>
        <w:tblW w:w="4998" w:type="pct"/>
        <w:tblInd w:w="0" w:type="dxa"/>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39"/>
        <w:gridCol w:w="1477"/>
        <w:gridCol w:w="520"/>
        <w:gridCol w:w="935"/>
        <w:gridCol w:w="1507"/>
        <w:gridCol w:w="3441"/>
      </w:tblGrid>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blHeader/>
        </w:trPr>
        <w:tc>
          <w:tcPr>
            <w:tcW w:w="37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工程名称</w:t>
            </w: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内容</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单位</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工程量</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计算公式</w:t>
            </w:r>
          </w:p>
        </w:tc>
        <w:tc>
          <w:tcPr>
            <w:tcW w:w="201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说明</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5"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开采台阶复垦</w:t>
            </w: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覆土</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覆土厚度***m，扣除截水毛沟及攀爬植物种植面积后，覆土面积约***㎡</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平整</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格宾网</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台阶总长约***m</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填石</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37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种植灌木</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株</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株距2*2</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7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种植攀爬植物</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株</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株距0.5m，坡顶和坡脚各种植一行</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撒播种草</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5"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终了平台复垦</w:t>
            </w: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覆土</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覆土厚度0.8m，扣除截（排）水沟面积后，覆土面积约***㎡</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平整</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种植乔木</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株</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乔木株距3*3</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37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种植灌木</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株</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灌木株距3*3</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撒播种草</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5"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排土场复垦</w:t>
            </w: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平整</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覆土厚度***m</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37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种植乔木</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株</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乔木株距3*3</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种植灌木</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株</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灌木株距3*3</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37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撒播种草</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375"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工业广场复垦</w:t>
            </w: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拆除混凝土</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按混凝土硬化面积占比***%，</w:t>
            </w:r>
            <w:r>
              <w:rPr>
                <w:rFonts w:hint="eastAsia" w:ascii="Times New Roman" w:hAnsi="Times New Roman" w:eastAsia="宋体" w:cs="Times New Roman"/>
                <w:sz w:val="21"/>
                <w:szCs w:val="21"/>
                <w:lang w:val="en-US" w:eastAsia="zh-CN"/>
              </w:rPr>
              <w:t>平均</w:t>
            </w:r>
            <w:r>
              <w:rPr>
                <w:rFonts w:hint="default" w:ascii="Times New Roman" w:hAnsi="Times New Roman" w:eastAsia="宋体" w:cs="Times New Roman"/>
                <w:sz w:val="21"/>
                <w:szCs w:val="21"/>
                <w:lang w:val="en-US" w:eastAsia="zh-CN"/>
              </w:rPr>
              <w:t>厚度***cm估算</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渣土外运</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覆土</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覆土厚度***m，扣除绿化面积后，覆土面积约***㎡</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37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平整</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种植乔木</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株</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乔木株距3*3</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37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种植灌木</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株</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灌木株距3*3</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5"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撒播种草</w:t>
            </w:r>
          </w:p>
        </w:tc>
        <w:tc>
          <w:tcPr>
            <w:tcW w:w="30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5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8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201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bl>
    <w:p>
      <w:pPr>
        <w:numPr>
          <w:ilvl w:val="0"/>
          <w:numId w:val="4"/>
        </w:numPr>
        <w:spacing w:line="360" w:lineRule="auto"/>
        <w:rPr>
          <w:rFonts w:hint="default" w:ascii="Times New Roman" w:hAnsi="Times New Roman" w:eastAsia="宋体" w:cs="Times New Roman"/>
          <w:b/>
          <w:sz w:val="28"/>
          <w:szCs w:val="28"/>
          <w:lang w:val="en-US" w:eastAsia="zh-CN"/>
        </w:rPr>
      </w:pPr>
      <w:r>
        <w:rPr>
          <w:rFonts w:hint="default" w:ascii="Times New Roman" w:hAnsi="Times New Roman" w:eastAsia="宋体" w:cs="Times New Roman"/>
          <w:b/>
          <w:sz w:val="28"/>
          <w:szCs w:val="28"/>
          <w:lang w:val="en-US" w:eastAsia="zh-CN"/>
        </w:rPr>
        <w:t>水资源水生态修复与改善工程</w:t>
      </w:r>
    </w:p>
    <w:p>
      <w:pPr>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w:t>
      </w:r>
      <w:r>
        <w:rPr>
          <w:rFonts w:hint="default" w:ascii="Times New Roman" w:hAnsi="Times New Roman" w:eastAsia="宋体" w:cs="Times New Roman"/>
          <w:sz w:val="28"/>
          <w:szCs w:val="28"/>
          <w:highlight w:val="none"/>
          <w:lang w:val="en-US" w:eastAsia="zh-CN"/>
        </w:rPr>
        <w:t>1</w:t>
      </w:r>
      <w:r>
        <w:rPr>
          <w:rFonts w:hint="default" w:ascii="Times New Roman" w:hAnsi="Times New Roman" w:eastAsia="宋体" w:cs="Times New Roman"/>
          <w:sz w:val="28"/>
          <w:szCs w:val="28"/>
          <w:highlight w:val="none"/>
        </w:rPr>
        <w:t>）</w:t>
      </w:r>
      <w:r>
        <w:rPr>
          <w:rFonts w:hint="default" w:ascii="Times New Roman" w:hAnsi="Times New Roman" w:eastAsia="宋体" w:cs="Times New Roman"/>
          <w:sz w:val="28"/>
          <w:szCs w:val="28"/>
          <w:highlight w:val="none"/>
          <w:lang w:val="en-US" w:eastAsia="zh-CN"/>
        </w:rPr>
        <w:t>截水沟、排水沟</w:t>
      </w:r>
      <w:r>
        <w:rPr>
          <w:rFonts w:hint="default" w:ascii="Times New Roman" w:hAnsi="Times New Roman" w:eastAsia="宋体" w:cs="Times New Roman"/>
          <w:sz w:val="28"/>
          <w:szCs w:val="28"/>
          <w:highlight w:val="none"/>
        </w:rPr>
        <w:t>设计</w:t>
      </w:r>
    </w:p>
    <w:p>
      <w:pPr>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lang w:val="en-US" w:eastAsia="zh-CN"/>
        </w:rPr>
        <w:t>1</w:t>
      </w:r>
      <w:r>
        <w:rPr>
          <w:rFonts w:hint="eastAsia" w:ascii="Times New Roman" w:hAnsi="Times New Roman" w:eastAsia="宋体" w:cs="Times New Roman"/>
          <w:sz w:val="28"/>
          <w:szCs w:val="28"/>
          <w:highlight w:val="none"/>
          <w:lang w:val="en-US" w:eastAsia="zh-CN"/>
        </w:rPr>
        <w:t>）</w:t>
      </w:r>
      <w:r>
        <w:rPr>
          <w:rFonts w:hint="default" w:ascii="Times New Roman" w:hAnsi="Times New Roman" w:eastAsia="宋体" w:cs="Times New Roman"/>
          <w:sz w:val="28"/>
          <w:szCs w:val="28"/>
          <w:highlight w:val="none"/>
          <w:lang w:val="en-US" w:eastAsia="zh-CN"/>
        </w:rPr>
        <w:t>水资源水生态保护工程</w:t>
      </w:r>
    </w:p>
    <w:p>
      <w:pPr>
        <w:spacing w:line="360" w:lineRule="auto"/>
        <w:ind w:firstLine="560" w:firstLineChars="200"/>
        <w:rPr>
          <w:rFonts w:hint="default" w:ascii="Times New Roman" w:hAnsi="Times New Roman" w:eastAsia="宋体" w:cs="Times New Roman"/>
          <w:sz w:val="28"/>
          <w:szCs w:val="28"/>
          <w:lang w:val="en-US"/>
        </w:rPr>
      </w:pPr>
      <w:r>
        <w:rPr>
          <w:rFonts w:hint="default" w:ascii="Times New Roman" w:hAnsi="Times New Roman" w:eastAsia="宋体" w:cs="Times New Roman"/>
          <w:sz w:val="28"/>
          <w:szCs w:val="28"/>
          <w:highlight w:val="none"/>
          <w:lang w:val="en-US" w:eastAsia="zh-CN"/>
        </w:rPr>
        <w:t>①截水沟</w:t>
      </w:r>
      <w:r>
        <w:rPr>
          <w:rFonts w:hint="default" w:ascii="Times New Roman" w:hAnsi="Times New Roman" w:eastAsia="宋体" w:cs="Times New Roman"/>
          <w:sz w:val="28"/>
          <w:szCs w:val="28"/>
          <w:lang w:val="en-US" w:eastAsia="zh-CN"/>
        </w:rPr>
        <w:t>工程：因排土场上方有小范围的汇水面，为防止雨季时上部汇水对排土场的冲刷，实现区内的雨污分流，需在排土场上方修建截水沟。据测量，排土场截水沟长度为</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m，设计断面尺寸为0.4×0.4m。露采场、矿山道路同理，露采场顶部周边、终了平台周边及矿山道路上坡面一侧分别修筑截水沟，长度依次为</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米、***米和***米。</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设计排水沟断面为矩形，底部采用C20砼现浇，侧面采用浆砌砖修建；每隔10m设置一条伸缩缝，缝中用沥青及麻料填充。</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以下以排土场截水沟为例进行排水沟尺寸及过流量验算。</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A.排水沟尺寸验算：</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根据《城市防洪工程设计规范》，排水沟抗滑稳定安全系数取1.2，抗倾覆稳定安全系数取1.5。地表排水工程设计降雨标准，暴雨重现期在设计情况下为10年一遇，校核情况下为20年一遇。设计暴雨强度为78.1mm/h。截、排水沟的安全超高不小于0.2m。</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B.水力计算</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a.设计频率地表水汇流量Qp采用公式如下：</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drawing>
          <wp:inline distT="0" distB="0" distL="114300" distR="114300">
            <wp:extent cx="4591050" cy="638175"/>
            <wp:effectExtent l="0" t="0" r="11430" b="1905"/>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pic:cNvPicPr>
                  </pic:nvPicPr>
                  <pic:blipFill>
                    <a:blip r:embed="rId11"/>
                    <a:stretch>
                      <a:fillRect/>
                    </a:stretch>
                  </pic:blipFill>
                  <pic:spPr>
                    <a:xfrm>
                      <a:off x="0" y="0"/>
                      <a:ext cx="4591050" cy="638175"/>
                    </a:xfrm>
                    <a:prstGeom prst="rect">
                      <a:avLst/>
                    </a:prstGeom>
                    <a:noFill/>
                    <a:ln>
                      <a:noFill/>
                    </a:ln>
                  </pic:spPr>
                </pic:pic>
              </a:graphicData>
            </a:graphic>
          </wp:inline>
        </w:drawing>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式中：</w:t>
      </w:r>
      <w:r>
        <w:rPr>
          <w:rFonts w:hint="default" w:ascii="Times New Roman" w:hAnsi="Times New Roman" w:eastAsia="宋体" w:cs="Times New Roman"/>
          <w:i/>
          <w:iCs/>
          <w:sz w:val="28"/>
          <w:szCs w:val="28"/>
          <w:lang w:val="en-US" w:eastAsia="zh-CN"/>
        </w:rPr>
        <w:t>Q</w:t>
      </w:r>
      <w:r>
        <w:rPr>
          <w:rFonts w:hint="default" w:ascii="Times New Roman" w:hAnsi="Times New Roman" w:eastAsia="宋体" w:cs="Times New Roman"/>
          <w:i/>
          <w:iCs/>
          <w:sz w:val="28"/>
          <w:szCs w:val="28"/>
          <w:vertAlign w:val="subscript"/>
          <w:lang w:val="en-US" w:eastAsia="zh-CN"/>
        </w:rPr>
        <w:t>p</w:t>
      </w:r>
      <w:r>
        <w:rPr>
          <w:rFonts w:hint="default" w:ascii="Times New Roman" w:hAnsi="Times New Roman" w:eastAsia="宋体" w:cs="Times New Roman"/>
          <w:sz w:val="28"/>
          <w:szCs w:val="28"/>
          <w:lang w:val="en-US" w:eastAsia="zh-CN"/>
        </w:rPr>
        <w:t>—设计频率地表水汇流量；</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w:t>
      </w:r>
      <w:r>
        <w:rPr>
          <w:rFonts w:hint="default" w:ascii="Times New Roman" w:hAnsi="Times New Roman" w:eastAsia="宋体" w:cs="Times New Roman"/>
          <w:i/>
          <w:iCs/>
          <w:sz w:val="28"/>
          <w:szCs w:val="28"/>
          <w:lang w:val="en-US" w:eastAsia="zh-CN"/>
        </w:rPr>
        <w:t>φ</w:t>
      </w:r>
      <w:r>
        <w:rPr>
          <w:rFonts w:hint="default" w:ascii="Times New Roman" w:hAnsi="Times New Roman" w:eastAsia="宋体" w:cs="Times New Roman"/>
          <w:sz w:val="28"/>
          <w:szCs w:val="28"/>
          <w:lang w:val="en-US" w:eastAsia="zh-CN"/>
        </w:rPr>
        <w:t>—径流系数，截水沟上方为绿地，取0.2；</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i/>
          <w:iCs/>
          <w:sz w:val="28"/>
          <w:szCs w:val="28"/>
          <w:lang w:val="en-US" w:eastAsia="zh-CN"/>
        </w:rPr>
        <w:t>S</w:t>
      </w:r>
      <w:r>
        <w:rPr>
          <w:rFonts w:hint="default" w:ascii="Times New Roman" w:hAnsi="Times New Roman" w:eastAsia="宋体" w:cs="Times New Roman"/>
          <w:i/>
          <w:iCs/>
          <w:sz w:val="28"/>
          <w:szCs w:val="28"/>
          <w:vertAlign w:val="subscript"/>
          <w:lang w:val="en-US" w:eastAsia="zh-CN"/>
        </w:rPr>
        <w:t>p</w:t>
      </w:r>
      <w:r>
        <w:rPr>
          <w:rFonts w:hint="default" w:ascii="Times New Roman" w:hAnsi="Times New Roman" w:eastAsia="宋体" w:cs="Times New Roman"/>
          <w:sz w:val="28"/>
          <w:szCs w:val="28"/>
          <w:lang w:val="en-US" w:eastAsia="zh-CN"/>
        </w:rPr>
        <w:t>—设计降雨雨强（mm/h），取78.1；</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i/>
          <w:iCs/>
          <w:sz w:val="28"/>
          <w:szCs w:val="28"/>
          <w:lang w:val="en-US" w:eastAsia="zh-CN"/>
        </w:rPr>
        <w:t>F</w:t>
      </w:r>
      <w:r>
        <w:rPr>
          <w:rFonts w:hint="default" w:ascii="Times New Roman" w:hAnsi="Times New Roman" w:eastAsia="宋体" w:cs="Times New Roman"/>
          <w:sz w:val="28"/>
          <w:szCs w:val="28"/>
          <w:lang w:val="en-US" w:eastAsia="zh-CN"/>
        </w:rPr>
        <w:t>—汇水面积（km</w:t>
      </w:r>
      <w:r>
        <w:rPr>
          <w:rFonts w:hint="default" w:ascii="Times New Roman" w:hAnsi="Times New Roman" w:eastAsia="宋体" w:cs="Times New Roman"/>
          <w:sz w:val="28"/>
          <w:szCs w:val="28"/>
          <w:vertAlign w:val="superscript"/>
          <w:lang w:val="en-US" w:eastAsia="zh-CN"/>
        </w:rPr>
        <w:t>2）</w:t>
      </w:r>
      <w:r>
        <w:rPr>
          <w:rFonts w:hint="default" w:ascii="Times New Roman" w:hAnsi="Times New Roman" w:eastAsia="宋体" w:cs="Times New Roman"/>
          <w:sz w:val="28"/>
          <w:szCs w:val="28"/>
          <w:lang w:val="en-US" w:eastAsia="zh-CN"/>
        </w:rPr>
        <w:t>，为0.0985km</w:t>
      </w:r>
      <w:r>
        <w:rPr>
          <w:rFonts w:hint="default" w:ascii="Times New Roman" w:hAnsi="Times New Roman" w:eastAsia="宋体" w:cs="Times New Roman"/>
          <w:sz w:val="28"/>
          <w:szCs w:val="28"/>
          <w:vertAlign w:val="superscript"/>
          <w:lang w:val="en-US" w:eastAsia="zh-CN"/>
        </w:rPr>
        <w:t>2</w:t>
      </w:r>
      <w:r>
        <w:rPr>
          <w:rFonts w:hint="default" w:ascii="Times New Roman" w:hAnsi="Times New Roman" w:eastAsia="宋体" w:cs="Times New Roman"/>
          <w:sz w:val="28"/>
          <w:szCs w:val="28"/>
          <w:lang w:val="en-US" w:eastAsia="zh-CN"/>
        </w:rPr>
        <w:t>。</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计算出地表水汇流量</w:t>
      </w:r>
      <w:r>
        <w:rPr>
          <w:rFonts w:hint="default" w:ascii="Times New Roman" w:hAnsi="Times New Roman" w:eastAsia="宋体" w:cs="Times New Roman"/>
          <w:i/>
          <w:iCs/>
          <w:sz w:val="28"/>
          <w:szCs w:val="28"/>
          <w:lang w:val="en-US" w:eastAsia="zh-CN"/>
        </w:rPr>
        <w:t>Q</w:t>
      </w:r>
      <w:r>
        <w:rPr>
          <w:rFonts w:hint="default" w:ascii="Times New Roman" w:hAnsi="Times New Roman" w:eastAsia="宋体" w:cs="Times New Roman"/>
          <w:i/>
          <w:iCs/>
          <w:sz w:val="28"/>
          <w:szCs w:val="28"/>
          <w:vertAlign w:val="subscript"/>
          <w:lang w:val="en-US" w:eastAsia="zh-CN"/>
        </w:rPr>
        <w:t>p</w:t>
      </w:r>
      <w:r>
        <w:rPr>
          <w:rFonts w:hint="default" w:ascii="Times New Roman" w:hAnsi="Times New Roman" w:eastAsia="宋体" w:cs="Times New Roman"/>
          <w:sz w:val="28"/>
          <w:szCs w:val="28"/>
          <w:lang w:val="en-US" w:eastAsia="zh-CN"/>
        </w:rPr>
        <w:t>为0.427m³/s。</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b.排水沟过流量计算公式：</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drawing>
          <wp:inline distT="0" distB="0" distL="114300" distR="114300">
            <wp:extent cx="1409700" cy="1487805"/>
            <wp:effectExtent l="0" t="0" r="7620" b="5715"/>
            <wp:docPr id="2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7"/>
                    <pic:cNvPicPr>
                      <a:picLocks noChangeAspect="1"/>
                    </pic:cNvPicPr>
                  </pic:nvPicPr>
                  <pic:blipFill>
                    <a:blip r:embed="rId12"/>
                    <a:stretch>
                      <a:fillRect/>
                    </a:stretch>
                  </pic:blipFill>
                  <pic:spPr>
                    <a:xfrm>
                      <a:off x="0" y="0"/>
                      <a:ext cx="1409700" cy="1487805"/>
                    </a:xfrm>
                    <a:prstGeom prst="rect">
                      <a:avLst/>
                    </a:prstGeom>
                    <a:noFill/>
                    <a:ln>
                      <a:noFill/>
                    </a:ln>
                  </pic:spPr>
                </pic:pic>
              </a:graphicData>
            </a:graphic>
          </wp:inline>
        </w:drawing>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式中：Q—过流量（m</w:t>
      </w:r>
      <w:r>
        <w:rPr>
          <w:rFonts w:hint="default" w:ascii="Times New Roman" w:hAnsi="Times New Roman" w:eastAsia="宋体" w:cs="Times New Roman"/>
          <w:sz w:val="28"/>
          <w:szCs w:val="28"/>
          <w:vertAlign w:val="superscript"/>
          <w:lang w:val="en-US" w:eastAsia="zh-CN"/>
        </w:rPr>
        <w:t>3</w:t>
      </w:r>
      <w:r>
        <w:rPr>
          <w:rFonts w:hint="default" w:ascii="Times New Roman" w:hAnsi="Times New Roman" w:eastAsia="宋体" w:cs="Times New Roman"/>
          <w:sz w:val="28"/>
          <w:szCs w:val="28"/>
          <w:lang w:val="en-US" w:eastAsia="zh-CN"/>
        </w:rPr>
        <w:t>/s）；</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W—过流断面面积（m</w:t>
      </w:r>
      <w:r>
        <w:rPr>
          <w:rFonts w:hint="default" w:ascii="Times New Roman" w:hAnsi="Times New Roman" w:eastAsia="宋体" w:cs="Times New Roman"/>
          <w:sz w:val="28"/>
          <w:szCs w:val="28"/>
          <w:vertAlign w:val="superscript"/>
          <w:lang w:val="en-US" w:eastAsia="zh-CN"/>
        </w:rPr>
        <w:t>2）</w:t>
      </w:r>
      <w:r>
        <w:rPr>
          <w:rFonts w:hint="default" w:ascii="Times New Roman" w:hAnsi="Times New Roman" w:eastAsia="宋体" w:cs="Times New Roman"/>
          <w:sz w:val="28"/>
          <w:szCs w:val="28"/>
          <w:lang w:val="en-US" w:eastAsia="zh-CN"/>
        </w:rPr>
        <w:t>；</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C—流速系数（m/s）；</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R—水力半径（m）；</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i—水力坡降（%）；</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n—糙率，取0.014；</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A—排水沟有效过水断面面积（m</w:t>
      </w:r>
      <w:r>
        <w:rPr>
          <w:rFonts w:hint="default" w:ascii="Times New Roman" w:hAnsi="Times New Roman" w:eastAsia="宋体" w:cs="Times New Roman"/>
          <w:sz w:val="28"/>
          <w:szCs w:val="28"/>
          <w:vertAlign w:val="superscript"/>
          <w:lang w:val="en-US" w:eastAsia="zh-CN"/>
        </w:rPr>
        <w:t>2）</w:t>
      </w:r>
      <w:r>
        <w:rPr>
          <w:rFonts w:hint="default" w:ascii="Times New Roman" w:hAnsi="Times New Roman" w:eastAsia="宋体" w:cs="Times New Roman"/>
          <w:sz w:val="28"/>
          <w:szCs w:val="28"/>
          <w:lang w:val="en-US" w:eastAsia="zh-CN"/>
        </w:rPr>
        <w:t>；</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X—湿周（m）。</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据验算，截水沟流速系数为***m/s、水力半径为***m、有效过水断面面积为***m</w:t>
      </w:r>
      <w:r>
        <w:rPr>
          <w:rFonts w:hint="default" w:ascii="Times New Roman" w:hAnsi="Times New Roman" w:eastAsia="宋体" w:cs="Times New Roman"/>
          <w:sz w:val="28"/>
          <w:szCs w:val="28"/>
          <w:vertAlign w:val="superscript"/>
          <w:lang w:val="en-US" w:eastAsia="zh-CN"/>
        </w:rPr>
        <w:t>2</w:t>
      </w:r>
      <w:r>
        <w:rPr>
          <w:rFonts w:hint="default" w:ascii="Times New Roman" w:hAnsi="Times New Roman" w:eastAsia="宋体" w:cs="Times New Roman"/>
          <w:sz w:val="28"/>
          <w:szCs w:val="28"/>
          <w:lang w:val="en-US" w:eastAsia="zh-CN"/>
        </w:rPr>
        <w:t>、湿周为***m、过流量为***m</w:t>
      </w:r>
      <w:r>
        <w:rPr>
          <w:rFonts w:hint="default" w:ascii="Times New Roman" w:hAnsi="Times New Roman" w:eastAsia="宋体" w:cs="Times New Roman"/>
          <w:sz w:val="28"/>
          <w:szCs w:val="28"/>
          <w:vertAlign w:val="superscript"/>
          <w:lang w:val="en-US" w:eastAsia="zh-CN"/>
        </w:rPr>
        <w:t>3</w:t>
      </w:r>
      <w:r>
        <w:rPr>
          <w:rFonts w:hint="default" w:ascii="Times New Roman" w:hAnsi="Times New Roman" w:eastAsia="宋体" w:cs="Times New Roman"/>
          <w:sz w:val="28"/>
          <w:szCs w:val="28"/>
          <w:lang w:val="en-US" w:eastAsia="zh-CN"/>
        </w:rPr>
        <w:t>/s。过流量大于汇流量，截水沟尺寸符合要求。</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②排水沟工程：为使采场底部终了平台内排水畅通，需在露采场中部修建排水沟。根据上述对截水沟断面的验算，排水沟断面采用0.4（沟底）×0.4m。中部排水沟设计参照截水沟规格。据测量，露采场终了平台中部排水沟两条，总长约***米。</w:t>
      </w:r>
    </w:p>
    <w:p>
      <w:pPr>
        <w:spacing w:line="360" w:lineRule="auto"/>
        <w:rPr>
          <w:rFonts w:hint="default" w:ascii="Times New Roman" w:hAnsi="Times New Roman" w:eastAsia="宋体" w:cs="Times New Roman"/>
          <w:sz w:val="28"/>
          <w:szCs w:val="28"/>
          <w:lang w:eastAsia="zh-CN"/>
        </w:rPr>
      </w:pPr>
    </w:p>
    <w:p>
      <w:pPr>
        <w:numPr>
          <w:ilvl w:val="0"/>
          <w:numId w:val="0"/>
        </w:numPr>
        <w:spacing w:line="360" w:lineRule="auto"/>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图4-9截（排）水沟断面示意图（尺寸：cm）</w:t>
      </w:r>
    </w:p>
    <w:p>
      <w:pP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br w:type="page"/>
      </w:r>
    </w:p>
    <w:p>
      <w:pPr>
        <w:numPr>
          <w:ilvl w:val="0"/>
          <w:numId w:val="0"/>
        </w:numPr>
        <w:spacing w:line="360" w:lineRule="auto"/>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表4-</w:t>
      </w:r>
      <w:r>
        <w:rPr>
          <w:rFonts w:hint="eastAsia" w:ascii="Times New Roman" w:hAnsi="Times New Roman" w:eastAsia="宋体" w:cs="Times New Roman"/>
          <w:b/>
          <w:bCs/>
          <w:sz w:val="24"/>
          <w:szCs w:val="24"/>
          <w:lang w:val="en-US" w:eastAsia="zh-CN"/>
        </w:rPr>
        <w:t>5</w:t>
      </w:r>
      <w:r>
        <w:rPr>
          <w:rFonts w:hint="default" w:ascii="Times New Roman" w:hAnsi="Times New Roman" w:eastAsia="宋体" w:cs="Times New Roman"/>
          <w:b/>
          <w:bCs/>
          <w:sz w:val="24"/>
          <w:szCs w:val="24"/>
          <w:lang w:val="en-US" w:eastAsia="zh-CN"/>
        </w:rPr>
        <w:t xml:space="preserve"> </w:t>
      </w:r>
      <w:r>
        <w:rPr>
          <w:rFonts w:hint="eastAsia" w:ascii="Times New Roman" w:hAnsi="Times New Roman" w:eastAsia="宋体" w:cs="Times New Roman"/>
          <w:b/>
          <w:bCs/>
          <w:sz w:val="24"/>
          <w:szCs w:val="24"/>
          <w:lang w:val="en-US" w:eastAsia="zh-CN"/>
        </w:rPr>
        <w:t>截（排）水沟</w:t>
      </w:r>
      <w:r>
        <w:rPr>
          <w:rFonts w:hint="default" w:ascii="Times New Roman" w:hAnsi="Times New Roman" w:eastAsia="宋体" w:cs="Times New Roman"/>
          <w:b/>
          <w:bCs/>
          <w:sz w:val="24"/>
          <w:szCs w:val="24"/>
          <w:lang w:val="en-US" w:eastAsia="zh-CN"/>
        </w:rPr>
        <w:t>工程量计算表</w:t>
      </w:r>
    </w:p>
    <w:tbl>
      <w:tblPr>
        <w:tblStyle w:val="12"/>
        <w:tblW w:w="4997" w:type="pct"/>
        <w:tblInd w:w="0" w:type="dxa"/>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919"/>
        <w:gridCol w:w="1235"/>
        <w:gridCol w:w="2388"/>
        <w:gridCol w:w="920"/>
        <w:gridCol w:w="1382"/>
        <w:gridCol w:w="1673"/>
      </w:tblGrid>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blHeader/>
        </w:trPr>
        <w:tc>
          <w:tcPr>
            <w:tcW w:w="5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工程名称</w:t>
            </w:r>
          </w:p>
        </w:tc>
        <w:tc>
          <w:tcPr>
            <w:tcW w:w="50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数量（m）</w:t>
            </w: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内容</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单位</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每米工程量</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总工程量</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环露采场截水沟</w:t>
            </w:r>
          </w:p>
        </w:tc>
        <w:tc>
          <w:tcPr>
            <w:tcW w:w="503" w:type="pct"/>
            <w:vMerge w:val="restar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rPr>
              <w:t>***</w:t>
            </w: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挖方工程</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回填工程</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浆砌砖工程</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混凝土底板</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2"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砂浆抹面(立)</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伸缩缝</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排土场截水沟</w:t>
            </w:r>
          </w:p>
        </w:tc>
        <w:tc>
          <w:tcPr>
            <w:tcW w:w="503" w:type="pct"/>
            <w:vMerge w:val="restar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rPr>
              <w:t>***</w:t>
            </w: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挖方工程</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回填工程</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浆砌砖工程</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混凝土底板</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2"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砂浆抹面(立)</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伸缩缝</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矿山道路截水沟</w:t>
            </w:r>
          </w:p>
        </w:tc>
        <w:tc>
          <w:tcPr>
            <w:tcW w:w="503" w:type="pct"/>
            <w:vMerge w:val="restar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rPr>
              <w:t>***</w:t>
            </w: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挖方工程</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回填工程</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浆砌砖工程</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混凝土底板</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2"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砂浆抹面(立)</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伸缩缝</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终了平台截水沟</w:t>
            </w:r>
          </w:p>
        </w:tc>
        <w:tc>
          <w:tcPr>
            <w:tcW w:w="503" w:type="pct"/>
            <w:vMerge w:val="restar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rPr>
              <w:t>***</w:t>
            </w: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挖方工程</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回填工程</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浆砌砖工程</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混凝土底板</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2"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砂浆抹面(立)</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伸缩缝</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终了平台排水沟</w:t>
            </w:r>
          </w:p>
        </w:tc>
        <w:tc>
          <w:tcPr>
            <w:tcW w:w="503" w:type="pct"/>
            <w:vMerge w:val="restar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挖方工程</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回填工程</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浆砌砖工程</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混凝土底板</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2"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砂浆抹面(立)</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584"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50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4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伸缩缝</w:t>
            </w:r>
          </w:p>
        </w:tc>
        <w:tc>
          <w:tcPr>
            <w:tcW w:w="58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855"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02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bl>
    <w:p>
      <w:pPr>
        <w:spacing w:line="360" w:lineRule="auto"/>
        <w:ind w:firstLine="560" w:firstLineChars="200"/>
        <w:rPr>
          <w:rFonts w:hint="default" w:ascii="Times New Roman" w:hAnsi="Times New Roman" w:eastAsia="宋体" w:cs="Times New Roman"/>
          <w:sz w:val="28"/>
          <w:szCs w:val="28"/>
        </w:rPr>
      </w:pPr>
      <w:r>
        <w:rPr>
          <w:rFonts w:hint="default" w:ascii="Calibri" w:hAnsi="Calibri" w:eastAsia="宋体" w:cs="Calibri"/>
          <w:sz w:val="28"/>
          <w:szCs w:val="28"/>
          <w:lang w:val="en-US" w:eastAsia="zh-CN"/>
        </w:rPr>
        <w:t>③</w:t>
      </w:r>
      <w:r>
        <w:rPr>
          <w:rFonts w:hint="default" w:ascii="Times New Roman" w:hAnsi="Times New Roman" w:eastAsia="宋体" w:cs="Times New Roman"/>
          <w:sz w:val="28"/>
          <w:szCs w:val="28"/>
          <w:lang w:val="en-US" w:eastAsia="zh-CN"/>
        </w:rPr>
        <w:t>沉淀池</w:t>
      </w:r>
      <w:r>
        <w:rPr>
          <w:rFonts w:hint="default" w:ascii="Times New Roman" w:hAnsi="Times New Roman" w:eastAsia="宋体" w:cs="Times New Roman"/>
          <w:sz w:val="28"/>
          <w:szCs w:val="28"/>
        </w:rPr>
        <w:t>设计</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本次设计</w:t>
      </w:r>
      <w:r>
        <w:rPr>
          <w:rFonts w:hint="default" w:ascii="Times New Roman" w:hAnsi="Times New Roman" w:eastAsia="宋体" w:cs="Times New Roman"/>
          <w:sz w:val="28"/>
          <w:szCs w:val="28"/>
          <w:lang w:val="en-US" w:eastAsia="zh-CN"/>
        </w:rPr>
        <w:t>露采场</w:t>
      </w:r>
      <w:r>
        <w:rPr>
          <w:rFonts w:hint="eastAsia" w:ascii="Times New Roman" w:hAnsi="Times New Roman" w:eastAsia="宋体" w:cs="Times New Roman"/>
          <w:sz w:val="28"/>
          <w:szCs w:val="28"/>
          <w:lang w:val="en-US" w:eastAsia="zh-CN"/>
        </w:rPr>
        <w:t>终了平台</w:t>
      </w:r>
      <w:r>
        <w:rPr>
          <w:rFonts w:hint="default" w:ascii="Times New Roman" w:hAnsi="Times New Roman" w:eastAsia="宋体" w:cs="Times New Roman"/>
          <w:sz w:val="28"/>
          <w:szCs w:val="28"/>
          <w:lang w:val="en-US" w:eastAsia="zh-CN"/>
        </w:rPr>
        <w:t>西北角出口、工业广场出口、排土场出口处分别</w:t>
      </w:r>
      <w:r>
        <w:rPr>
          <w:rFonts w:hint="default" w:ascii="Times New Roman" w:hAnsi="Times New Roman" w:eastAsia="宋体" w:cs="Times New Roman"/>
          <w:sz w:val="28"/>
          <w:szCs w:val="28"/>
        </w:rPr>
        <w:t>修建</w:t>
      </w:r>
      <w:r>
        <w:rPr>
          <w:rFonts w:hint="default" w:ascii="Times New Roman" w:hAnsi="Times New Roman" w:eastAsia="宋体" w:cs="Times New Roman"/>
          <w:sz w:val="28"/>
          <w:szCs w:val="28"/>
          <w:lang w:val="en-US" w:eastAsia="zh-CN"/>
        </w:rPr>
        <w:t>一座</w:t>
      </w:r>
      <w:r>
        <w:rPr>
          <w:rFonts w:hint="default" w:ascii="Times New Roman" w:hAnsi="Times New Roman" w:eastAsia="宋体" w:cs="Times New Roman"/>
          <w:sz w:val="28"/>
          <w:szCs w:val="28"/>
        </w:rPr>
        <w:t>沉淀池</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本次生态修复方案中设计的</w:t>
      </w:r>
      <w:r>
        <w:rPr>
          <w:rFonts w:hint="default" w:ascii="Times New Roman" w:hAnsi="Times New Roman" w:eastAsia="宋体" w:cs="Times New Roman"/>
          <w:sz w:val="28"/>
          <w:szCs w:val="28"/>
          <w:lang w:val="en-US" w:eastAsia="zh-CN"/>
        </w:rPr>
        <w:t>沉淀池</w:t>
      </w:r>
      <w:r>
        <w:rPr>
          <w:rFonts w:hint="default" w:ascii="Times New Roman" w:hAnsi="Times New Roman" w:eastAsia="宋体" w:cs="Times New Roman"/>
          <w:sz w:val="28"/>
          <w:szCs w:val="28"/>
        </w:rPr>
        <w:t>主要考虑去除雨水中悬浮物，根据地形条件，</w:t>
      </w:r>
      <w:r>
        <w:rPr>
          <w:rFonts w:hint="default" w:ascii="Times New Roman" w:hAnsi="Times New Roman" w:eastAsia="宋体" w:cs="Times New Roman"/>
          <w:sz w:val="28"/>
          <w:szCs w:val="28"/>
          <w:lang w:val="en-US" w:eastAsia="zh-CN"/>
        </w:rPr>
        <w:t>露采场终了平台西北角出口</w:t>
      </w:r>
      <w:r>
        <w:rPr>
          <w:rFonts w:hint="eastAsia" w:ascii="Times New Roman" w:hAnsi="Times New Roman" w:eastAsia="宋体" w:cs="Times New Roman"/>
          <w:sz w:val="28"/>
          <w:szCs w:val="28"/>
          <w:lang w:val="en-US" w:eastAsia="zh-CN"/>
        </w:rPr>
        <w:t>采用沉淀池-A规格，尺寸为***m×***m×***m，采用浆砌石结构，总容积为***m³，；工业广场出口、排土场出口处采用沉淀池-B规格，</w:t>
      </w:r>
      <w:r>
        <w:rPr>
          <w:rFonts w:hint="default" w:ascii="Times New Roman" w:hAnsi="Times New Roman" w:eastAsia="宋体" w:cs="Times New Roman"/>
          <w:sz w:val="28"/>
          <w:szCs w:val="28"/>
        </w:rPr>
        <w:t>尺寸为</w:t>
      </w:r>
      <w:r>
        <w:rPr>
          <w:rFonts w:hint="default" w:ascii="Times New Roman" w:hAnsi="Times New Roman" w:eastAsia="宋体" w:cs="Times New Roman"/>
          <w:sz w:val="28"/>
          <w:szCs w:val="28"/>
          <w:lang w:val="en-US" w:eastAsia="zh-CN"/>
        </w:rPr>
        <w:t>***</w:t>
      </w:r>
      <w:r>
        <w:rPr>
          <w:rFonts w:hint="default" w:ascii="Times New Roman" w:hAnsi="Times New Roman" w:eastAsia="宋体" w:cs="Times New Roman"/>
          <w:sz w:val="28"/>
          <w:szCs w:val="28"/>
        </w:rPr>
        <w:t>m×</w:t>
      </w:r>
      <w:r>
        <w:rPr>
          <w:rFonts w:hint="default" w:ascii="Times New Roman" w:hAnsi="Times New Roman" w:eastAsia="宋体" w:cs="Times New Roman"/>
          <w:sz w:val="28"/>
          <w:szCs w:val="28"/>
          <w:lang w:val="en-US" w:eastAsia="zh-CN"/>
        </w:rPr>
        <w:t>***</w:t>
      </w:r>
      <w:r>
        <w:rPr>
          <w:rFonts w:hint="default" w:ascii="Times New Roman" w:hAnsi="Times New Roman" w:eastAsia="宋体" w:cs="Times New Roman"/>
          <w:sz w:val="28"/>
          <w:szCs w:val="28"/>
        </w:rPr>
        <w:t>m×***m，采用浆砌</w:t>
      </w:r>
      <w:r>
        <w:rPr>
          <w:rFonts w:hint="default" w:ascii="Times New Roman" w:hAnsi="Times New Roman" w:eastAsia="宋体" w:cs="Times New Roman"/>
          <w:sz w:val="28"/>
          <w:szCs w:val="28"/>
          <w:lang w:val="en-US" w:eastAsia="zh-CN"/>
        </w:rPr>
        <w:t>石</w:t>
      </w:r>
      <w:r>
        <w:rPr>
          <w:rFonts w:hint="default" w:ascii="Times New Roman" w:hAnsi="Times New Roman" w:eastAsia="宋体" w:cs="Times New Roman"/>
          <w:sz w:val="28"/>
          <w:szCs w:val="28"/>
        </w:rPr>
        <w:t>结构，总容积为</w:t>
      </w:r>
      <w:r>
        <w:rPr>
          <w:rFonts w:hint="default" w:ascii="Times New Roman" w:hAnsi="Times New Roman" w:eastAsia="宋体" w:cs="Times New Roman"/>
          <w:sz w:val="28"/>
          <w:szCs w:val="28"/>
          <w:lang w:val="en-US" w:eastAsia="zh-CN"/>
        </w:rPr>
        <w:t>***</w:t>
      </w:r>
      <w:r>
        <w:rPr>
          <w:rFonts w:hint="default" w:ascii="Times New Roman" w:hAnsi="Times New Roman" w:eastAsia="宋体" w:cs="Times New Roman"/>
          <w:sz w:val="28"/>
          <w:szCs w:val="28"/>
        </w:rPr>
        <w:t>m³</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沉淀池</w:t>
      </w:r>
      <w:r>
        <w:rPr>
          <w:rFonts w:hint="default" w:ascii="Times New Roman" w:hAnsi="Times New Roman" w:eastAsia="宋体" w:cs="Times New Roman"/>
          <w:sz w:val="28"/>
          <w:szCs w:val="28"/>
        </w:rPr>
        <w:t>完全满足矿山调蓄的需求。</w:t>
      </w:r>
    </w:p>
    <w:p>
      <w:pPr>
        <w:spacing w:line="360" w:lineRule="auto"/>
        <w:jc w:val="center"/>
        <w:rPr>
          <w:rFonts w:hint="default" w:ascii="Times New Roman" w:hAnsi="Times New Roman" w:eastAsia="宋体" w:cs="Times New Roman"/>
          <w:sz w:val="28"/>
          <w:szCs w:val="28"/>
          <w:lang w:val="en-US" w:eastAsia="zh-CN"/>
        </w:rPr>
      </w:pPr>
    </w:p>
    <w:p>
      <w:pPr>
        <w:numPr>
          <w:ilvl w:val="0"/>
          <w:numId w:val="0"/>
        </w:numPr>
        <w:spacing w:line="360" w:lineRule="auto"/>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图4-1</w:t>
      </w:r>
      <w:r>
        <w:rPr>
          <w:rFonts w:hint="eastAsia" w:ascii="Times New Roman" w:hAnsi="Times New Roman" w:eastAsia="宋体" w:cs="Times New Roman"/>
          <w:b/>
          <w:bCs/>
          <w:sz w:val="24"/>
          <w:szCs w:val="24"/>
          <w:lang w:val="en-US" w:eastAsia="zh-CN"/>
        </w:rPr>
        <w:t>0</w:t>
      </w:r>
      <w:r>
        <w:rPr>
          <w:rFonts w:hint="default" w:ascii="Times New Roman" w:hAnsi="Times New Roman" w:eastAsia="宋体" w:cs="Times New Roman"/>
          <w:b/>
          <w:bCs/>
          <w:sz w:val="24"/>
          <w:szCs w:val="24"/>
          <w:lang w:val="en-US" w:eastAsia="zh-CN"/>
        </w:rPr>
        <w:t xml:space="preserve"> 沉淀池</w:t>
      </w:r>
      <w:r>
        <w:rPr>
          <w:rFonts w:hint="eastAsia" w:ascii="Times New Roman" w:hAnsi="Times New Roman" w:eastAsia="宋体" w:cs="Times New Roman"/>
          <w:b/>
          <w:bCs/>
          <w:sz w:val="24"/>
          <w:szCs w:val="24"/>
          <w:lang w:val="en-US" w:eastAsia="zh-CN"/>
        </w:rPr>
        <w:t>-A断面示意</w:t>
      </w:r>
      <w:r>
        <w:rPr>
          <w:rFonts w:hint="default" w:ascii="Times New Roman" w:hAnsi="Times New Roman" w:eastAsia="宋体" w:cs="Times New Roman"/>
          <w:b/>
          <w:bCs/>
          <w:sz w:val="24"/>
          <w:szCs w:val="24"/>
          <w:lang w:val="en-US" w:eastAsia="zh-CN"/>
        </w:rPr>
        <w:t>图</w:t>
      </w:r>
    </w:p>
    <w:p>
      <w:pPr>
        <w:numPr>
          <w:ilvl w:val="0"/>
          <w:numId w:val="0"/>
        </w:numPr>
        <w:spacing w:line="360" w:lineRule="auto"/>
        <w:jc w:val="center"/>
        <w:rPr>
          <w:rFonts w:hint="default" w:ascii="Times New Roman" w:hAnsi="Times New Roman" w:eastAsia="宋体" w:cs="Times New Roman"/>
          <w:b/>
          <w:bCs/>
          <w:sz w:val="24"/>
          <w:szCs w:val="24"/>
          <w:lang w:val="en-US" w:eastAsia="zh-CN"/>
        </w:rPr>
      </w:pPr>
    </w:p>
    <w:p>
      <w:pPr>
        <w:numPr>
          <w:ilvl w:val="0"/>
          <w:numId w:val="0"/>
        </w:numPr>
        <w:spacing w:line="360" w:lineRule="auto"/>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图4-1</w:t>
      </w:r>
      <w:r>
        <w:rPr>
          <w:rFonts w:hint="eastAsia" w:ascii="Times New Roman" w:hAnsi="Times New Roman" w:eastAsia="宋体" w:cs="Times New Roman"/>
          <w:b/>
          <w:bCs/>
          <w:sz w:val="24"/>
          <w:szCs w:val="24"/>
          <w:lang w:val="en-US" w:eastAsia="zh-CN"/>
        </w:rPr>
        <w:t>1</w:t>
      </w:r>
      <w:r>
        <w:rPr>
          <w:rFonts w:hint="default" w:ascii="Times New Roman" w:hAnsi="Times New Roman" w:eastAsia="宋体" w:cs="Times New Roman"/>
          <w:b/>
          <w:bCs/>
          <w:sz w:val="24"/>
          <w:szCs w:val="24"/>
          <w:lang w:val="en-US" w:eastAsia="zh-CN"/>
        </w:rPr>
        <w:t xml:space="preserve"> 沉淀池-</w:t>
      </w:r>
      <w:r>
        <w:rPr>
          <w:rFonts w:hint="eastAsia" w:ascii="Times New Roman" w:hAnsi="Times New Roman" w:eastAsia="宋体" w:cs="Times New Roman"/>
          <w:b/>
          <w:bCs/>
          <w:sz w:val="24"/>
          <w:szCs w:val="24"/>
          <w:lang w:val="en-US" w:eastAsia="zh-CN"/>
        </w:rPr>
        <w:t>平面</w:t>
      </w:r>
      <w:r>
        <w:rPr>
          <w:rFonts w:hint="default" w:ascii="Times New Roman" w:hAnsi="Times New Roman" w:eastAsia="宋体" w:cs="Times New Roman"/>
          <w:b/>
          <w:bCs/>
          <w:sz w:val="24"/>
          <w:szCs w:val="24"/>
          <w:lang w:val="en-US" w:eastAsia="zh-CN"/>
        </w:rPr>
        <w:t>示意图</w:t>
      </w:r>
    </w:p>
    <w:p>
      <w:pPr>
        <w:numPr>
          <w:ilvl w:val="0"/>
          <w:numId w:val="0"/>
        </w:numPr>
        <w:spacing w:line="360" w:lineRule="auto"/>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图4-1</w:t>
      </w:r>
      <w:r>
        <w:rPr>
          <w:rFonts w:hint="eastAsia" w:ascii="Times New Roman" w:hAnsi="Times New Roman" w:eastAsia="宋体" w:cs="Times New Roman"/>
          <w:b/>
          <w:bCs/>
          <w:sz w:val="24"/>
          <w:szCs w:val="24"/>
          <w:lang w:val="en-US" w:eastAsia="zh-CN"/>
        </w:rPr>
        <w:t>2</w:t>
      </w:r>
      <w:r>
        <w:rPr>
          <w:rFonts w:hint="default" w:ascii="Times New Roman" w:hAnsi="Times New Roman" w:eastAsia="宋体" w:cs="Times New Roman"/>
          <w:b/>
          <w:bCs/>
          <w:sz w:val="24"/>
          <w:szCs w:val="24"/>
          <w:lang w:val="en-US" w:eastAsia="zh-CN"/>
        </w:rPr>
        <w:t xml:space="preserve"> 沉淀池-</w:t>
      </w:r>
      <w:r>
        <w:rPr>
          <w:rFonts w:hint="eastAsia" w:ascii="Times New Roman" w:hAnsi="Times New Roman" w:eastAsia="宋体" w:cs="Times New Roman"/>
          <w:b/>
          <w:bCs/>
          <w:sz w:val="24"/>
          <w:szCs w:val="24"/>
          <w:lang w:val="en-US" w:eastAsia="zh-CN"/>
        </w:rPr>
        <w:t>B平面</w:t>
      </w:r>
      <w:r>
        <w:rPr>
          <w:rFonts w:hint="default" w:ascii="Times New Roman" w:hAnsi="Times New Roman" w:eastAsia="宋体" w:cs="Times New Roman"/>
          <w:b/>
          <w:bCs/>
          <w:sz w:val="24"/>
          <w:szCs w:val="24"/>
          <w:lang w:val="en-US" w:eastAsia="zh-CN"/>
        </w:rPr>
        <w:t>示意图</w:t>
      </w:r>
    </w:p>
    <w:p>
      <w:pPr>
        <w:numPr>
          <w:ilvl w:val="0"/>
          <w:numId w:val="0"/>
        </w:numPr>
        <w:spacing w:line="360" w:lineRule="auto"/>
        <w:jc w:val="center"/>
        <w:rPr>
          <w:rFonts w:hint="default" w:ascii="Times New Roman" w:hAnsi="Times New Roman" w:eastAsia="宋体" w:cs="Times New Roman"/>
          <w:b/>
          <w:sz w:val="28"/>
          <w:szCs w:val="28"/>
          <w:lang w:val="en-US" w:eastAsia="zh-CN"/>
        </w:rPr>
      </w:pPr>
    </w:p>
    <w:p>
      <w:pPr>
        <w:numPr>
          <w:ilvl w:val="0"/>
          <w:numId w:val="0"/>
        </w:numPr>
        <w:spacing w:line="360" w:lineRule="auto"/>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图4-1</w:t>
      </w:r>
      <w:r>
        <w:rPr>
          <w:rFonts w:hint="eastAsia" w:ascii="Times New Roman" w:hAnsi="Times New Roman" w:eastAsia="宋体" w:cs="Times New Roman"/>
          <w:b/>
          <w:bCs/>
          <w:sz w:val="24"/>
          <w:szCs w:val="24"/>
          <w:lang w:val="en-US" w:eastAsia="zh-CN"/>
        </w:rPr>
        <w:t>3</w:t>
      </w:r>
      <w:r>
        <w:rPr>
          <w:rFonts w:hint="default" w:ascii="Times New Roman" w:hAnsi="Times New Roman" w:eastAsia="宋体" w:cs="Times New Roman"/>
          <w:b/>
          <w:bCs/>
          <w:sz w:val="24"/>
          <w:szCs w:val="24"/>
          <w:lang w:val="en-US" w:eastAsia="zh-CN"/>
        </w:rPr>
        <w:t xml:space="preserve"> 沉淀池</w:t>
      </w:r>
      <w:r>
        <w:rPr>
          <w:rFonts w:hint="eastAsia" w:ascii="Times New Roman" w:hAnsi="Times New Roman" w:eastAsia="宋体" w:cs="Times New Roman"/>
          <w:b/>
          <w:bCs/>
          <w:sz w:val="24"/>
          <w:szCs w:val="24"/>
          <w:lang w:val="en-US" w:eastAsia="zh-CN"/>
        </w:rPr>
        <w:t>-B断面示意</w:t>
      </w:r>
      <w:r>
        <w:rPr>
          <w:rFonts w:hint="default" w:ascii="Times New Roman" w:hAnsi="Times New Roman" w:eastAsia="宋体" w:cs="Times New Roman"/>
          <w:b/>
          <w:bCs/>
          <w:sz w:val="24"/>
          <w:szCs w:val="24"/>
          <w:lang w:val="en-US" w:eastAsia="zh-CN"/>
        </w:rPr>
        <w:t>图</w:t>
      </w:r>
    </w:p>
    <w:p>
      <w:pPr>
        <w:numPr>
          <w:ilvl w:val="0"/>
          <w:numId w:val="0"/>
        </w:numPr>
        <w:spacing w:line="360" w:lineRule="auto"/>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表4-</w:t>
      </w:r>
      <w:r>
        <w:rPr>
          <w:rFonts w:hint="eastAsia" w:ascii="Times New Roman" w:hAnsi="Times New Roman" w:eastAsia="宋体" w:cs="Times New Roman"/>
          <w:b/>
          <w:bCs/>
          <w:sz w:val="24"/>
          <w:szCs w:val="24"/>
          <w:lang w:val="en-US" w:eastAsia="zh-CN"/>
        </w:rPr>
        <w:t>6</w:t>
      </w:r>
      <w:r>
        <w:rPr>
          <w:rFonts w:hint="default" w:ascii="Times New Roman" w:hAnsi="Times New Roman" w:eastAsia="宋体" w:cs="Times New Roman"/>
          <w:b/>
          <w:bCs/>
          <w:sz w:val="24"/>
          <w:szCs w:val="24"/>
          <w:lang w:val="en-US" w:eastAsia="zh-CN"/>
        </w:rPr>
        <w:t xml:space="preserve"> </w:t>
      </w:r>
      <w:r>
        <w:rPr>
          <w:rFonts w:hint="eastAsia" w:ascii="Times New Roman" w:hAnsi="Times New Roman" w:eastAsia="宋体" w:cs="Times New Roman"/>
          <w:b/>
          <w:bCs/>
          <w:sz w:val="24"/>
          <w:szCs w:val="24"/>
          <w:lang w:val="en-US" w:eastAsia="zh-CN"/>
        </w:rPr>
        <w:t>沉淀池工程量计算</w:t>
      </w:r>
      <w:r>
        <w:rPr>
          <w:rFonts w:hint="default" w:ascii="Times New Roman" w:hAnsi="Times New Roman" w:eastAsia="宋体" w:cs="Times New Roman"/>
          <w:b/>
          <w:bCs/>
          <w:sz w:val="24"/>
          <w:szCs w:val="24"/>
          <w:lang w:val="en-US" w:eastAsia="zh-CN"/>
        </w:rPr>
        <w:t>表</w:t>
      </w:r>
    </w:p>
    <w:tbl>
      <w:tblPr>
        <w:tblStyle w:val="12"/>
        <w:tblW w:w="7728" w:type="dxa"/>
        <w:tblInd w:w="96" w:type="dxa"/>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068"/>
        <w:gridCol w:w="705"/>
        <w:gridCol w:w="2499"/>
        <w:gridCol w:w="960"/>
        <w:gridCol w:w="1355"/>
        <w:gridCol w:w="1141"/>
      </w:tblGrid>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PrEx>
        <w:trPr>
          <w:trHeight w:val="425" w:hRule="exact"/>
        </w:trPr>
        <w:tc>
          <w:tcPr>
            <w:tcW w:w="106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工程名称</w:t>
            </w:r>
          </w:p>
        </w:tc>
        <w:tc>
          <w:tcPr>
            <w:tcW w:w="705"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数量</w:t>
            </w:r>
          </w:p>
        </w:tc>
        <w:tc>
          <w:tcPr>
            <w:tcW w:w="249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内容</w:t>
            </w:r>
          </w:p>
        </w:tc>
        <w:tc>
          <w:tcPr>
            <w:tcW w:w="960"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单位</w:t>
            </w:r>
          </w:p>
        </w:tc>
        <w:tc>
          <w:tcPr>
            <w:tcW w:w="1355"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单</w:t>
            </w:r>
            <w:r>
              <w:rPr>
                <w:rFonts w:hint="eastAsia" w:ascii="Times New Roman" w:hAnsi="Times New Roman" w:eastAsia="宋体" w:cs="Times New Roman"/>
                <w:b/>
                <w:bCs/>
                <w:sz w:val="21"/>
                <w:szCs w:val="21"/>
                <w:lang w:val="en-US" w:eastAsia="zh-CN"/>
              </w:rPr>
              <w:t>座</w:t>
            </w:r>
            <w:r>
              <w:rPr>
                <w:rFonts w:hint="default" w:ascii="Times New Roman" w:hAnsi="Times New Roman" w:eastAsia="宋体" w:cs="Times New Roman"/>
                <w:b/>
                <w:bCs/>
                <w:sz w:val="21"/>
                <w:szCs w:val="21"/>
                <w:lang w:val="en-US" w:eastAsia="zh-CN"/>
              </w:rPr>
              <w:t>工程量</w:t>
            </w:r>
          </w:p>
        </w:tc>
        <w:tc>
          <w:tcPr>
            <w:tcW w:w="1141"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总工程量</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25" w:hRule="exact"/>
        </w:trPr>
        <w:tc>
          <w:tcPr>
            <w:tcW w:w="1068" w:type="dxa"/>
            <w:vMerge w:val="restar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沉淀池-A</w:t>
            </w:r>
          </w:p>
        </w:tc>
        <w:tc>
          <w:tcPr>
            <w:tcW w:w="705" w:type="dxa"/>
            <w:vMerge w:val="restar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***座</w:t>
            </w:r>
          </w:p>
        </w:tc>
        <w:tc>
          <w:tcPr>
            <w:tcW w:w="249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浆砌石工程</w:t>
            </w:r>
          </w:p>
        </w:tc>
        <w:tc>
          <w:tcPr>
            <w:tcW w:w="960"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1355"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41"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5" w:hRule="exact"/>
        </w:trPr>
        <w:tc>
          <w:tcPr>
            <w:tcW w:w="1068"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705"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249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挖方工程</w:t>
            </w:r>
          </w:p>
        </w:tc>
        <w:tc>
          <w:tcPr>
            <w:tcW w:w="960"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1355"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41"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25" w:hRule="exact"/>
        </w:trPr>
        <w:tc>
          <w:tcPr>
            <w:tcW w:w="1068"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705"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249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混凝土底板</w:t>
            </w:r>
          </w:p>
        </w:tc>
        <w:tc>
          <w:tcPr>
            <w:tcW w:w="960"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1355"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41"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5" w:hRule="exact"/>
        </w:trPr>
        <w:tc>
          <w:tcPr>
            <w:tcW w:w="1068"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705"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249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粗砂垫层</w:t>
            </w:r>
          </w:p>
        </w:tc>
        <w:tc>
          <w:tcPr>
            <w:tcW w:w="960"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1355"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41"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5" w:hRule="exact"/>
        </w:trPr>
        <w:tc>
          <w:tcPr>
            <w:tcW w:w="1068"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705"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249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回填工程</w:t>
            </w:r>
          </w:p>
        </w:tc>
        <w:tc>
          <w:tcPr>
            <w:tcW w:w="960"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1355"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41"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25" w:hRule="exact"/>
        </w:trPr>
        <w:tc>
          <w:tcPr>
            <w:tcW w:w="1068"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705"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249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砂浆抹面(平)</w:t>
            </w:r>
          </w:p>
        </w:tc>
        <w:tc>
          <w:tcPr>
            <w:tcW w:w="960"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355"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41"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5" w:hRule="exact"/>
        </w:trPr>
        <w:tc>
          <w:tcPr>
            <w:tcW w:w="1068"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705"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249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砂浆抹面(立)</w:t>
            </w:r>
          </w:p>
        </w:tc>
        <w:tc>
          <w:tcPr>
            <w:tcW w:w="960"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355"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41"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5" w:hRule="exact"/>
        </w:trPr>
        <w:tc>
          <w:tcPr>
            <w:tcW w:w="1068" w:type="dxa"/>
            <w:vMerge w:val="restar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沉淀池-B</w:t>
            </w:r>
          </w:p>
        </w:tc>
        <w:tc>
          <w:tcPr>
            <w:tcW w:w="705" w:type="dxa"/>
            <w:vMerge w:val="restar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***座</w:t>
            </w:r>
          </w:p>
        </w:tc>
        <w:tc>
          <w:tcPr>
            <w:tcW w:w="249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浆砌石工程</w:t>
            </w:r>
          </w:p>
        </w:tc>
        <w:tc>
          <w:tcPr>
            <w:tcW w:w="960"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1355"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41"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25" w:hRule="exact"/>
        </w:trPr>
        <w:tc>
          <w:tcPr>
            <w:tcW w:w="1068"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705"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249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挖方工程</w:t>
            </w:r>
          </w:p>
        </w:tc>
        <w:tc>
          <w:tcPr>
            <w:tcW w:w="960"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1355"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41"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25" w:hRule="exact"/>
        </w:trPr>
        <w:tc>
          <w:tcPr>
            <w:tcW w:w="1068"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705"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249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混凝土底板</w:t>
            </w:r>
          </w:p>
        </w:tc>
        <w:tc>
          <w:tcPr>
            <w:tcW w:w="960"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1355"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41"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5" w:hRule="exact"/>
        </w:trPr>
        <w:tc>
          <w:tcPr>
            <w:tcW w:w="1068"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705"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249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回填工程</w:t>
            </w:r>
          </w:p>
        </w:tc>
        <w:tc>
          <w:tcPr>
            <w:tcW w:w="960"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1355"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41"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5" w:hRule="exact"/>
        </w:trPr>
        <w:tc>
          <w:tcPr>
            <w:tcW w:w="1068"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705"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249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砂浆抹面(平)</w:t>
            </w:r>
          </w:p>
        </w:tc>
        <w:tc>
          <w:tcPr>
            <w:tcW w:w="960"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355"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41"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5" w:hRule="exact"/>
        </w:trPr>
        <w:tc>
          <w:tcPr>
            <w:tcW w:w="1068"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705" w:type="dxa"/>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249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砂浆抹面(立)</w:t>
            </w:r>
          </w:p>
        </w:tc>
        <w:tc>
          <w:tcPr>
            <w:tcW w:w="960"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355"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c>
          <w:tcPr>
            <w:tcW w:w="1141"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rPr>
              <w:t>***</w:t>
            </w:r>
          </w:p>
        </w:tc>
      </w:tr>
    </w:tbl>
    <w:p>
      <w:pPr>
        <w:numPr>
          <w:ilvl w:val="0"/>
          <w:numId w:val="4"/>
        </w:numPr>
        <w:spacing w:line="360" w:lineRule="auto"/>
        <w:rPr>
          <w:rFonts w:hint="default" w:ascii="Times New Roman" w:hAnsi="Times New Roman" w:eastAsia="宋体" w:cs="Times New Roman"/>
          <w:b/>
          <w:sz w:val="28"/>
          <w:szCs w:val="28"/>
          <w:lang w:val="en-US" w:eastAsia="zh-CN"/>
        </w:rPr>
      </w:pPr>
      <w:r>
        <w:rPr>
          <w:rFonts w:hint="default" w:ascii="Times New Roman" w:hAnsi="Times New Roman" w:eastAsia="宋体" w:cs="Times New Roman"/>
          <w:b/>
          <w:sz w:val="28"/>
          <w:szCs w:val="28"/>
          <w:lang w:val="en-US" w:eastAsia="zh-CN"/>
        </w:rPr>
        <w:t>地灾隐患消除工程</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未来矿山目前东侧边坡局部地段较陡，矿山在开采时要严格按照设计对露采场边坡进行削放坡，对采场边坡产生的松动危岩要及时清理。对稳定性差的软弱岩层最终边坡，应采取锚喷，浆砌等局部或全部加固措施。加强边坡监测工作，详见后文矿山地质环境监测工程章节。</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为减轻水土流失，减少山洪水对边坡和道路的冲刷，在露采场外围、排土场顶部及矿山道路上坡面一侧分别修筑截水沟。</w:t>
      </w:r>
    </w:p>
    <w:p>
      <w:pPr>
        <w:spacing w:line="360" w:lineRule="auto"/>
        <w:ind w:firstLine="560" w:firstLineChars="200"/>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为减轻水土流失危害，</w:t>
      </w:r>
      <w:r>
        <w:rPr>
          <w:rFonts w:hint="eastAsia" w:ascii="Times New Roman" w:hAnsi="Times New Roman" w:eastAsia="宋体" w:cs="Times New Roman"/>
          <w:sz w:val="28"/>
          <w:szCs w:val="28"/>
          <w:lang w:val="en-US" w:eastAsia="zh-CN"/>
        </w:rPr>
        <w:t>应对</w:t>
      </w:r>
      <w:r>
        <w:rPr>
          <w:rFonts w:hint="default" w:ascii="Times New Roman" w:hAnsi="Times New Roman" w:eastAsia="宋体" w:cs="Times New Roman"/>
          <w:sz w:val="28"/>
          <w:szCs w:val="28"/>
          <w:lang w:val="en-US" w:eastAsia="zh-CN"/>
        </w:rPr>
        <w:t>排土场边坡</w:t>
      </w:r>
      <w:r>
        <w:rPr>
          <w:rFonts w:hint="eastAsia" w:ascii="Times New Roman" w:hAnsi="Times New Roman" w:eastAsia="宋体" w:cs="Times New Roman"/>
          <w:sz w:val="28"/>
          <w:szCs w:val="28"/>
          <w:lang w:val="en-US" w:eastAsia="zh-CN"/>
        </w:rPr>
        <w:t>进行防护。根据《湖南省汨罗市梅树湾矿区建筑用花岗岩矿资源开发利用方案》，排土场设计为：最大容积约***万m³，最大堆置高度***m，单个台阶堆置高度***m，台阶坡面角***°，台阶宽度***m。</w:t>
      </w:r>
    </w:p>
    <w:p>
      <w:pPr>
        <w:spacing w:line="360" w:lineRule="auto"/>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排土场台阶坡面角***°，其余边坡应按不大于1:2进行放坡；同时为减轻水土流失危害，在坡脚修筑挡土墙。</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因露采场边坡表土层、全风化层稳定性差，增加边坡整形和边坡挂网、局部不稳定边坡的拦挡工程等措施，预留地灾防治工程费用。</w:t>
      </w:r>
      <w:r>
        <w:rPr>
          <w:rFonts w:hint="eastAsia" w:ascii="Times New Roman" w:hAnsi="Times New Roman" w:eastAsia="宋体" w:cs="Times New Roman"/>
          <w:sz w:val="28"/>
          <w:szCs w:val="28"/>
          <w:lang w:val="en-US" w:eastAsia="zh-CN"/>
        </w:rPr>
        <w:t>具体工程措施根据地灾防治实际需求实施，初步估算预留边坡地灾防治工程费用***万元</w:t>
      </w:r>
      <w:r>
        <w:rPr>
          <w:rFonts w:hint="default" w:ascii="Times New Roman" w:hAnsi="Times New Roman" w:eastAsia="宋体" w:cs="Times New Roman"/>
          <w:sz w:val="28"/>
          <w:szCs w:val="28"/>
          <w:lang w:val="en-US" w:eastAsia="zh-CN"/>
        </w:rPr>
        <w:t>。</w:t>
      </w:r>
    </w:p>
    <w:p>
      <w:pPr>
        <w:spacing w:line="360" w:lineRule="auto"/>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lang w:val="en-US" w:eastAsia="zh-CN"/>
        </w:rPr>
        <w:t>排土场挡土墙设计</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台阶坡面角***°</w:t>
      </w:r>
      <w:r>
        <w:rPr>
          <w:rFonts w:hint="eastAsia" w:ascii="Times New Roman" w:hAnsi="Times New Roman" w:eastAsia="宋体" w:cs="Times New Roman"/>
          <w:sz w:val="28"/>
          <w:szCs w:val="28"/>
          <w:lang w:val="en-US" w:eastAsia="zh-CN"/>
        </w:rPr>
        <w:t>，应及时做好复垦复绿，减轻水土流失；同时，</w:t>
      </w:r>
      <w:r>
        <w:rPr>
          <w:rFonts w:hint="default" w:ascii="Times New Roman" w:hAnsi="Times New Roman" w:eastAsia="宋体" w:cs="Times New Roman"/>
          <w:sz w:val="28"/>
          <w:szCs w:val="28"/>
          <w:lang w:val="en-US" w:eastAsia="zh-CN"/>
        </w:rPr>
        <w:t>排土场</w:t>
      </w:r>
      <w:r>
        <w:rPr>
          <w:rFonts w:hint="eastAsia" w:ascii="Times New Roman" w:hAnsi="Times New Roman" w:eastAsia="宋体" w:cs="Times New Roman"/>
          <w:sz w:val="28"/>
          <w:szCs w:val="28"/>
          <w:lang w:val="en-US" w:eastAsia="zh-CN"/>
        </w:rPr>
        <w:t>其余</w:t>
      </w:r>
      <w:r>
        <w:rPr>
          <w:rFonts w:hint="default" w:ascii="Times New Roman" w:hAnsi="Times New Roman" w:eastAsia="宋体" w:cs="Times New Roman"/>
          <w:sz w:val="28"/>
          <w:szCs w:val="28"/>
          <w:lang w:val="en-US" w:eastAsia="zh-CN"/>
        </w:rPr>
        <w:t>边坡按不大于1:2进行放坡，坡脚修筑挡土墙。设计挡土墙高***m，顶宽***m，采用浆砌石砌筑，具体设计见下图：</w:t>
      </w:r>
    </w:p>
    <w:p>
      <w:pPr>
        <w:numPr>
          <w:ilvl w:val="0"/>
          <w:numId w:val="0"/>
        </w:numPr>
        <w:spacing w:line="360" w:lineRule="auto"/>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图4-1</w:t>
      </w:r>
      <w:r>
        <w:rPr>
          <w:rFonts w:hint="eastAsia" w:ascii="Times New Roman" w:hAnsi="Times New Roman" w:eastAsia="宋体" w:cs="Times New Roman"/>
          <w:b/>
          <w:bCs/>
          <w:sz w:val="24"/>
          <w:szCs w:val="24"/>
          <w:lang w:val="en-US" w:eastAsia="zh-CN"/>
        </w:rPr>
        <w:t>4</w:t>
      </w:r>
      <w:r>
        <w:rPr>
          <w:rFonts w:hint="default" w:ascii="Times New Roman" w:hAnsi="Times New Roman" w:eastAsia="宋体" w:cs="Times New Roman"/>
          <w:b/>
          <w:bCs/>
          <w:sz w:val="24"/>
          <w:szCs w:val="24"/>
          <w:lang w:val="en-US" w:eastAsia="zh-CN"/>
        </w:rPr>
        <w:t>挡土墙断面设计图</w:t>
      </w:r>
    </w:p>
    <w:p>
      <w:pPr>
        <w:numPr>
          <w:ilvl w:val="0"/>
          <w:numId w:val="0"/>
        </w:numPr>
        <w:spacing w:line="360" w:lineRule="auto"/>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表4-</w:t>
      </w:r>
      <w:r>
        <w:rPr>
          <w:rFonts w:hint="eastAsia" w:ascii="Times New Roman" w:hAnsi="Times New Roman" w:eastAsia="宋体" w:cs="Times New Roman"/>
          <w:b/>
          <w:bCs/>
          <w:sz w:val="24"/>
          <w:szCs w:val="24"/>
          <w:lang w:val="en-US" w:eastAsia="zh-CN"/>
        </w:rPr>
        <w:t>7</w:t>
      </w:r>
      <w:r>
        <w:rPr>
          <w:rFonts w:hint="default" w:ascii="Times New Roman" w:hAnsi="Times New Roman" w:eastAsia="宋体" w:cs="Times New Roman"/>
          <w:b/>
          <w:bCs/>
          <w:sz w:val="24"/>
          <w:szCs w:val="24"/>
          <w:lang w:val="en-US" w:eastAsia="zh-CN"/>
        </w:rPr>
        <w:t xml:space="preserve"> </w:t>
      </w:r>
      <w:r>
        <w:rPr>
          <w:rFonts w:hint="eastAsia" w:ascii="Times New Roman" w:hAnsi="Times New Roman" w:eastAsia="宋体" w:cs="Times New Roman"/>
          <w:b/>
          <w:bCs/>
          <w:sz w:val="24"/>
          <w:szCs w:val="24"/>
          <w:lang w:val="en-US" w:eastAsia="zh-CN"/>
        </w:rPr>
        <w:t>挡土墙</w:t>
      </w:r>
      <w:r>
        <w:rPr>
          <w:rFonts w:hint="default" w:ascii="Times New Roman" w:hAnsi="Times New Roman" w:eastAsia="宋体" w:cs="Times New Roman"/>
          <w:b/>
          <w:bCs/>
          <w:sz w:val="24"/>
          <w:szCs w:val="24"/>
          <w:lang w:val="en-US" w:eastAsia="zh-CN"/>
        </w:rPr>
        <w:t>工程量计算表</w:t>
      </w:r>
    </w:p>
    <w:tbl>
      <w:tblPr>
        <w:tblStyle w:val="12"/>
        <w:tblW w:w="4997" w:type="pct"/>
        <w:tblInd w:w="0" w:type="dxa"/>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220"/>
        <w:gridCol w:w="1053"/>
        <w:gridCol w:w="2478"/>
        <w:gridCol w:w="1038"/>
        <w:gridCol w:w="1421"/>
        <w:gridCol w:w="1307"/>
      </w:tblGrid>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28" w:hRule="exact"/>
        </w:trPr>
        <w:tc>
          <w:tcPr>
            <w:tcW w:w="71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工程名称</w:t>
            </w:r>
          </w:p>
        </w:tc>
        <w:tc>
          <w:tcPr>
            <w:tcW w:w="61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数量（m）</w:t>
            </w:r>
          </w:p>
        </w:tc>
        <w:tc>
          <w:tcPr>
            <w:tcW w:w="145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内容</w:t>
            </w:r>
          </w:p>
        </w:tc>
        <w:tc>
          <w:tcPr>
            <w:tcW w:w="609"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单位</w:t>
            </w:r>
          </w:p>
        </w:tc>
        <w:tc>
          <w:tcPr>
            <w:tcW w:w="83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每米工程量</w:t>
            </w:r>
          </w:p>
        </w:tc>
        <w:tc>
          <w:tcPr>
            <w:tcW w:w="76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总工程量</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5" w:hRule="exact"/>
        </w:trPr>
        <w:tc>
          <w:tcPr>
            <w:tcW w:w="716"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挡土墙</w:t>
            </w:r>
          </w:p>
        </w:tc>
        <w:tc>
          <w:tcPr>
            <w:tcW w:w="618" w:type="pct"/>
            <w:vMerge w:val="restar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45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挖方工程</w:t>
            </w:r>
          </w:p>
        </w:tc>
        <w:tc>
          <w:tcPr>
            <w:tcW w:w="609"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3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eastAsia"/>
              </w:rPr>
              <w:t>***</w:t>
            </w:r>
          </w:p>
        </w:tc>
        <w:tc>
          <w:tcPr>
            <w:tcW w:w="76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5" w:hRule="exact"/>
        </w:trPr>
        <w:tc>
          <w:tcPr>
            <w:tcW w:w="716"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p>
        </w:tc>
        <w:tc>
          <w:tcPr>
            <w:tcW w:w="618"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p>
        </w:tc>
        <w:tc>
          <w:tcPr>
            <w:tcW w:w="145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回填工程</w:t>
            </w:r>
          </w:p>
        </w:tc>
        <w:tc>
          <w:tcPr>
            <w:tcW w:w="609"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3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eastAsia"/>
              </w:rPr>
              <w:t>***</w:t>
            </w:r>
          </w:p>
        </w:tc>
        <w:tc>
          <w:tcPr>
            <w:tcW w:w="76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25" w:hRule="exact"/>
        </w:trPr>
        <w:tc>
          <w:tcPr>
            <w:tcW w:w="716"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p>
        </w:tc>
        <w:tc>
          <w:tcPr>
            <w:tcW w:w="618"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p>
        </w:tc>
        <w:tc>
          <w:tcPr>
            <w:tcW w:w="145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浆砌石工程</w:t>
            </w:r>
          </w:p>
        </w:tc>
        <w:tc>
          <w:tcPr>
            <w:tcW w:w="609"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m³</w:t>
            </w:r>
          </w:p>
        </w:tc>
        <w:tc>
          <w:tcPr>
            <w:tcW w:w="83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eastAsia"/>
              </w:rPr>
              <w:t>***</w:t>
            </w:r>
          </w:p>
        </w:tc>
        <w:tc>
          <w:tcPr>
            <w:tcW w:w="76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25" w:hRule="exact"/>
        </w:trPr>
        <w:tc>
          <w:tcPr>
            <w:tcW w:w="716"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p>
        </w:tc>
        <w:tc>
          <w:tcPr>
            <w:tcW w:w="618"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p>
        </w:tc>
        <w:tc>
          <w:tcPr>
            <w:tcW w:w="145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PVC管道</w:t>
            </w:r>
          </w:p>
        </w:tc>
        <w:tc>
          <w:tcPr>
            <w:tcW w:w="609"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w:t>
            </w:r>
          </w:p>
        </w:tc>
        <w:tc>
          <w:tcPr>
            <w:tcW w:w="83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eastAsia"/>
              </w:rPr>
              <w:t>***</w:t>
            </w:r>
          </w:p>
        </w:tc>
        <w:tc>
          <w:tcPr>
            <w:tcW w:w="76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25" w:hRule="exact"/>
        </w:trPr>
        <w:tc>
          <w:tcPr>
            <w:tcW w:w="716"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p>
        </w:tc>
        <w:tc>
          <w:tcPr>
            <w:tcW w:w="618"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p>
        </w:tc>
        <w:tc>
          <w:tcPr>
            <w:tcW w:w="145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砂浆抹面(立)</w:t>
            </w:r>
          </w:p>
        </w:tc>
        <w:tc>
          <w:tcPr>
            <w:tcW w:w="609"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83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eastAsia"/>
              </w:rPr>
              <w:t>***</w:t>
            </w:r>
          </w:p>
        </w:tc>
        <w:tc>
          <w:tcPr>
            <w:tcW w:w="76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25" w:hRule="exact"/>
        </w:trPr>
        <w:tc>
          <w:tcPr>
            <w:tcW w:w="716"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p>
        </w:tc>
        <w:tc>
          <w:tcPr>
            <w:tcW w:w="618"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p>
        </w:tc>
        <w:tc>
          <w:tcPr>
            <w:tcW w:w="145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伸缩缝</w:t>
            </w:r>
          </w:p>
        </w:tc>
        <w:tc>
          <w:tcPr>
            <w:tcW w:w="609"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834"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eastAsia"/>
              </w:rPr>
              <w:t>***</w:t>
            </w:r>
          </w:p>
        </w:tc>
        <w:tc>
          <w:tcPr>
            <w:tcW w:w="766"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val="en-US" w:eastAsia="zh-CN"/>
              </w:rPr>
            </w:pPr>
            <w:r>
              <w:rPr>
                <w:rFonts w:hint="eastAsia"/>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ascii="Times New Roman" w:hAnsi="Times New Roman" w:eastAsia="宋体" w:cs="Times New Roman"/>
          <w:b/>
          <w:sz w:val="28"/>
          <w:szCs w:val="28"/>
          <w:lang w:val="en-US" w:eastAsia="zh-CN"/>
        </w:rPr>
      </w:pPr>
      <w:r>
        <w:rPr>
          <w:rFonts w:hint="default" w:ascii="Times New Roman" w:hAnsi="Times New Roman" w:eastAsia="宋体" w:cs="Times New Roman"/>
          <w:b/>
          <w:sz w:val="28"/>
          <w:szCs w:val="28"/>
          <w:lang w:val="en-US" w:eastAsia="zh-CN"/>
        </w:rPr>
        <w:t>排土场的设计最终以专项安全设计为准，本方案设计仅作为预算的工程量估算</w:t>
      </w:r>
    </w:p>
    <w:p>
      <w:pPr>
        <w:spacing w:line="360" w:lineRule="auto"/>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lang w:val="en-US" w:eastAsia="zh-CN"/>
        </w:rPr>
        <w:t>防护围栏</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未来矿山露采场会形成边坡，为防止人畜误入，本次设计在露采场周边修建一圈安全围栏，并在安全网上设置悬挂式警示牌。另外矿山的沉淀池面积较大，深度较大，为防止人畜误入，本次设计也修建一圈安全围栏，并各设置一块警示牌。</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1）露采场网围栏和警示牌</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在露采场外侧选择某一起点埋设1根水泥桩，水泥桩规格为0.15m×0.15m×2.00m，每隔5m间距布设1根，地下0.5m，地上1.5m，依次埋设；然后，在水泥桩外侧围设钢丝金属网，钢丝规格为Φ2.50mm、网孔规格为25mm×50mm，并将钢丝网固定在埋好的水泥桩上，最终使钢丝网首尾相接，总长度约***m。根据市场调查，网围栏每米建设费用约***元。</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在露天采场网围栏外每隔50m设置1块警示牌，警示牌的构架主要由牌子四周固定悬挂在金属网围栏构成，其中警示牌规格为：0.40m×0.50m（矩形）；警示牌版面绘制有提醒标语和警示符号。要求警示效果明显，安装时要牢固并具备一定的抗风能力。根据市场调查，警示牌每块建设费用约***元。</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2）沉淀池围栏和警示牌</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本次设计在沉淀池周边设置围栏和警示牌与露采场相同，按照设计沉淀池的周长预估工程量，具体设计方案略。</w:t>
      </w:r>
    </w:p>
    <w:p>
      <w:pPr>
        <w:spacing w:line="360" w:lineRule="auto"/>
        <w:jc w:val="center"/>
        <w:rPr>
          <w:rFonts w:hint="default" w:ascii="Times New Roman" w:hAnsi="Times New Roman" w:eastAsia="宋体" w:cs="Times New Roman"/>
          <w:sz w:val="28"/>
          <w:szCs w:val="28"/>
          <w:lang w:val="en-US" w:eastAsia="zh-CN"/>
        </w:rPr>
      </w:pPr>
    </w:p>
    <w:p>
      <w:pPr>
        <w:numPr>
          <w:ilvl w:val="0"/>
          <w:numId w:val="0"/>
        </w:numPr>
        <w:spacing w:line="360" w:lineRule="auto"/>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图4-1</w:t>
      </w:r>
      <w:r>
        <w:rPr>
          <w:rFonts w:hint="eastAsia" w:ascii="Times New Roman" w:hAnsi="Times New Roman" w:eastAsia="宋体" w:cs="Times New Roman"/>
          <w:b/>
          <w:bCs/>
          <w:sz w:val="24"/>
          <w:szCs w:val="24"/>
          <w:lang w:val="en-US" w:eastAsia="zh-CN"/>
        </w:rPr>
        <w:t>5警示牌设计</w:t>
      </w:r>
      <w:r>
        <w:rPr>
          <w:rFonts w:hint="default" w:ascii="Times New Roman" w:hAnsi="Times New Roman" w:eastAsia="宋体" w:cs="Times New Roman"/>
          <w:b/>
          <w:bCs/>
          <w:sz w:val="24"/>
          <w:szCs w:val="24"/>
          <w:lang w:val="en-US" w:eastAsia="zh-CN"/>
        </w:rPr>
        <w:t>图</w:t>
      </w:r>
    </w:p>
    <w:p>
      <w:pPr>
        <w:spacing w:line="360" w:lineRule="auto"/>
        <w:jc w:val="center"/>
        <w:rPr>
          <w:rFonts w:hint="default" w:ascii="Times New Roman" w:hAnsi="Times New Roman" w:eastAsia="宋体" w:cs="Times New Roman"/>
          <w:sz w:val="28"/>
          <w:szCs w:val="28"/>
          <w:lang w:val="en-US" w:eastAsia="zh-CN"/>
        </w:rPr>
      </w:pPr>
    </w:p>
    <w:p>
      <w:pPr>
        <w:numPr>
          <w:ilvl w:val="0"/>
          <w:numId w:val="0"/>
        </w:numPr>
        <w:spacing w:line="360" w:lineRule="auto"/>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图4-1</w:t>
      </w:r>
      <w:r>
        <w:rPr>
          <w:rFonts w:hint="eastAsia" w:ascii="Times New Roman" w:hAnsi="Times New Roman" w:eastAsia="宋体" w:cs="Times New Roman"/>
          <w:b/>
          <w:bCs/>
          <w:sz w:val="24"/>
          <w:szCs w:val="24"/>
          <w:lang w:val="en-US" w:eastAsia="zh-CN"/>
        </w:rPr>
        <w:t>6防护围栏</w:t>
      </w:r>
      <w:r>
        <w:rPr>
          <w:rFonts w:hint="default" w:ascii="Times New Roman" w:hAnsi="Times New Roman" w:eastAsia="宋体" w:cs="Times New Roman"/>
          <w:b/>
          <w:bCs/>
          <w:sz w:val="24"/>
          <w:szCs w:val="24"/>
          <w:lang w:val="en-US" w:eastAsia="zh-CN"/>
        </w:rPr>
        <w:t>设计图</w:t>
      </w:r>
    </w:p>
    <w:p>
      <w:pPr>
        <w:numPr>
          <w:ilvl w:val="0"/>
          <w:numId w:val="3"/>
        </w:numPr>
        <w:spacing w:line="360" w:lineRule="auto"/>
        <w:ind w:firstLine="562" w:firstLineChars="200"/>
        <w:rPr>
          <w:rFonts w:hint="default" w:ascii="Times New Roman" w:hAnsi="Times New Roman" w:eastAsia="宋体" w:cs="Times New Roman"/>
          <w:b/>
          <w:sz w:val="28"/>
          <w:szCs w:val="28"/>
          <w:lang w:val="en-US" w:eastAsia="zh-CN"/>
        </w:rPr>
      </w:pPr>
      <w:r>
        <w:rPr>
          <w:rFonts w:hint="default" w:ascii="Times New Roman" w:hAnsi="Times New Roman" w:eastAsia="宋体" w:cs="Times New Roman"/>
          <w:b/>
          <w:sz w:val="28"/>
          <w:szCs w:val="28"/>
          <w:lang w:val="en-US" w:eastAsia="zh-CN"/>
        </w:rPr>
        <w:t>监测和管护工程</w:t>
      </w:r>
    </w:p>
    <w:p>
      <w:pPr>
        <w:numPr>
          <w:ilvl w:val="0"/>
          <w:numId w:val="5"/>
        </w:num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露采场及排土场边坡监测</w:t>
      </w:r>
    </w:p>
    <w:p>
      <w:pPr>
        <w:spacing w:line="360" w:lineRule="auto"/>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lang w:val="en-US" w:eastAsia="zh-CN"/>
        </w:rPr>
        <w:t>监测对象：潜在崩塌、滑坡地质灾害的采场边坡及废渣流地质灾害的排土场边坡。</w:t>
      </w:r>
    </w:p>
    <w:p>
      <w:pPr>
        <w:spacing w:line="360" w:lineRule="auto"/>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lang w:val="en-US" w:eastAsia="zh-CN"/>
        </w:rPr>
        <w:t>监测方法：本方案拟选取地质宏观巡视法为主，由矿山派专人对露采场边坡（特别是东部及中南部边坡）、排土场边坡进行调查，发现边坡开裂、位移、崩塌等宏观变形现象，配合大地形变测量法，及时掌握地表位移变化动态，以取得观测数据资料为原则。大地形变测量法分控制点（基准点）和监测点，控制点埋设在预测地质灾害及其影响范围之外，为相对不动点，监测点布设在预测地质灾害及其影响范围内，一般是选择有异常变化现象的点。</w:t>
      </w:r>
    </w:p>
    <w:p>
      <w:pPr>
        <w:spacing w:line="360" w:lineRule="auto"/>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lang w:val="en-US" w:eastAsia="zh-CN"/>
        </w:rPr>
        <w:t>监测频率：矿山正常生产应每天对露采场及排土场边坡稳定性巡查，如异常变化剧烈时应增加观测次数。</w:t>
      </w:r>
    </w:p>
    <w:p>
      <w:pPr>
        <w:spacing w:line="360" w:lineRule="auto"/>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lang w:val="en-US" w:eastAsia="zh-CN"/>
        </w:rPr>
        <w:t>监测期限，至</w:t>
      </w:r>
      <w:r>
        <w:rPr>
          <w:rFonts w:hint="eastAsia" w:ascii="Times New Roman" w:hAnsi="Times New Roman" w:eastAsia="宋体" w:cs="Times New Roman"/>
          <w:sz w:val="28"/>
          <w:szCs w:val="28"/>
          <w:lang w:val="en-US" w:eastAsia="zh-CN"/>
        </w:rPr>
        <w:t>复垦工程竣工后</w:t>
      </w:r>
      <w:r>
        <w:rPr>
          <w:rFonts w:hint="default" w:ascii="Times New Roman" w:hAnsi="Times New Roman" w:eastAsia="宋体" w:cs="Times New Roman"/>
          <w:sz w:val="28"/>
          <w:szCs w:val="28"/>
          <w:lang w:val="en-US" w:eastAsia="zh-CN"/>
        </w:rPr>
        <w:t>约</w:t>
      </w:r>
      <w:r>
        <w:rPr>
          <w:rFonts w:hint="eastAsia"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lang w:val="en-US" w:eastAsia="zh-CN"/>
        </w:rPr>
        <w:t>年，累计约***月次。</w:t>
      </w:r>
    </w:p>
    <w:p>
      <w:pPr>
        <w:spacing w:line="360" w:lineRule="auto"/>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（5）</w:t>
      </w:r>
      <w:r>
        <w:rPr>
          <w:rFonts w:hint="default" w:ascii="Times New Roman" w:hAnsi="Times New Roman" w:eastAsia="宋体" w:cs="Times New Roman"/>
          <w:sz w:val="28"/>
          <w:szCs w:val="28"/>
          <w:lang w:val="en-US" w:eastAsia="zh-CN"/>
        </w:rPr>
        <w:t>险情警报：当有异常出现、判定确定为险情时，应及时向险情警报系统上报。</w:t>
      </w:r>
    </w:p>
    <w:p>
      <w:pPr>
        <w:numPr>
          <w:ilvl w:val="0"/>
          <w:numId w:val="5"/>
        </w:num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水质监测</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矿山应对沉淀池的排水水质定期分析、监测，确保开采安全和达标排放。水质分析应按当地环保部门的要求进行，监测点布置在本次设计的三个沉淀池排水口及排水口下游约200m处。其中矿山水质监测的主要内容如下：</w:t>
      </w:r>
    </w:p>
    <w:p>
      <w:pPr>
        <w:spacing w:line="360" w:lineRule="auto"/>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lang w:val="en-US" w:eastAsia="zh-CN"/>
        </w:rPr>
        <w:t>设计内容：根据《地表水和污水监测技术规范》（HJ/T91-20022003.1.1），方案对矿区水环境质量进行常规监测，以掌握地表水、地下水水质发展趋势。</w:t>
      </w:r>
    </w:p>
    <w:p>
      <w:pPr>
        <w:spacing w:line="360" w:lineRule="auto"/>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lang w:val="en-US" w:eastAsia="zh-CN"/>
        </w:rPr>
        <w:t>监测点：设计在三个沉淀池出口各设水质监测点***个，并每个季度采水样进行检测。监测期为***年，按一个季度共***次计算，约***次，每次按***元预留。</w:t>
      </w:r>
    </w:p>
    <w:p>
      <w:pPr>
        <w:spacing w:line="360" w:lineRule="auto"/>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lang w:val="en-US" w:eastAsia="zh-CN"/>
        </w:rPr>
        <w:t>监测频率：每个季度采水样进行检测，经监测发现排放水、地下水水质超标时，应加密至每日一次。</w:t>
      </w:r>
    </w:p>
    <w:p>
      <w:pPr>
        <w:spacing w:line="360" w:lineRule="auto"/>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lang w:val="en-US" w:eastAsia="zh-CN"/>
        </w:rPr>
        <w:t>监测项目：每季度抽送一次到当地环境监测站进行水质简分析检验；监测因子按《污水综合排放标准》（GB8987-1996）以pH值、COD、氨氮、SS、铜、锌、铅、砷类等为主。</w:t>
      </w:r>
    </w:p>
    <w:p>
      <w:pPr>
        <w:numPr>
          <w:ilvl w:val="0"/>
          <w:numId w:val="5"/>
        </w:numPr>
        <w:spacing w:line="360" w:lineRule="auto"/>
        <w:ind w:left="0" w:leftChars="0"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土壤监测</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矿山应对矿区的土壤进行定期分析、监测，确保达标。监测点设置在沉淀池下游的耕地中，采用取样监测，取样深度不应小于30cm。土壤分析应按当地环保部门的要求进行。监测内容至少应包括pH、镉、汞、砷、铅、铬、铜、锌、镍等。设计监测频率为一年一次。监测方式为定期取样、分析。监测期限应直至矿山关闭后约***年，监测次数共***次。</w:t>
      </w:r>
    </w:p>
    <w:p>
      <w:pPr>
        <w:numPr>
          <w:ilvl w:val="0"/>
          <w:numId w:val="5"/>
        </w:numPr>
        <w:spacing w:line="360" w:lineRule="auto"/>
        <w:ind w:left="0" w:leftChars="0"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植被监测</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主要是针对矿山绿化、复垦的植被生长情况以及整个生态修复区范围内的植被进行监测。本次监测主要采用人工现场监测与遥感技术相结合的方法，生产期间以人工监测为主，矿山关闭后以遥感技术为主。</w:t>
      </w:r>
    </w:p>
    <w:p>
      <w:pPr>
        <w:spacing w:line="360" w:lineRule="auto"/>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lang w:val="en-US" w:eastAsia="zh-CN"/>
        </w:rPr>
        <w:t>监测内容：监测植被非自然死亡、退化的情况。</w:t>
      </w:r>
    </w:p>
    <w:p>
      <w:pPr>
        <w:spacing w:line="360" w:lineRule="auto"/>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lang w:val="en-US" w:eastAsia="zh-CN"/>
        </w:rPr>
        <w:t>监测方法：定期巡查，对破坏范围内的植被破坏情况、土壤破坏情况、植被绿化的效果等进行调查。</w:t>
      </w:r>
    </w:p>
    <w:p>
      <w:pPr>
        <w:spacing w:line="360" w:lineRule="auto"/>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lang w:val="en-US" w:eastAsia="zh-CN"/>
        </w:rPr>
        <w:t>监测频率：1年一次，以随时掌握地表情况，监测时间暂定为约***年。</w:t>
      </w:r>
    </w:p>
    <w:p>
      <w:pPr>
        <w:spacing w:line="360" w:lineRule="auto"/>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lang w:val="en-US" w:eastAsia="zh-CN"/>
        </w:rPr>
        <w:t>监测范围：矿山生态修复区范围。</w:t>
      </w:r>
    </w:p>
    <w:p>
      <w:pPr>
        <w:numPr>
          <w:ilvl w:val="0"/>
          <w:numId w:val="5"/>
        </w:numPr>
        <w:spacing w:line="360" w:lineRule="auto"/>
        <w:ind w:left="0" w:leftChars="0"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管护工程</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根据本方案复垦情况，管护工作主要对象是植被修复责任范围内的林地。“三分造、七分管”，管护内容包括松土、割灌、除萌、定株和对分枝较强的树种进行定株、平茬、修枝等抚育工作，其中，幼林抚育管理是造林成败的重要环节，要切实做好新造林地的抚育管护工作，幼林抚育管理包括：幼林的补植、抚育、施肥、保护等。同时，管护过程中派专人对栽种的幼苗木进行看护，负责浇水施肥等工作。矿区复垦土地管护质量标准为：植物长势良好，无枯黄现象、病虫害控制在12%以下，不至成灾；及时清除枯死树木，补植成林；防火措施得当，全年杜绝发生大的火灾事故；维持层次丰富、稳定、多样的植物群落结构，维护良好的自然生态景观。</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本方案植被修复范围为露采场、工业广场及排土场。确保3年后树木成活率85%以上。郁闭度35﹪以上。在造林抚育过程中，对成活率在85%以下的要进行补植。为了保证幼树的正常生长、要严禁在造林地内放牧砍柴，防止人畜践踏破坏，防止山火和病虫害的发生。</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此外，为确保排水畅通，增加截</w:t>
      </w:r>
      <w:r>
        <w:rPr>
          <w:rFonts w:hint="eastAsia" w:ascii="Times New Roman" w:hAnsi="Times New Roman" w:eastAsia="宋体" w:cs="Times New Roman"/>
          <w:sz w:val="28"/>
          <w:szCs w:val="28"/>
          <w:lang w:val="en-US" w:eastAsia="zh-CN"/>
        </w:rPr>
        <w:t>（排）</w:t>
      </w:r>
      <w:r>
        <w:rPr>
          <w:rFonts w:hint="default" w:ascii="Times New Roman" w:hAnsi="Times New Roman" w:eastAsia="宋体" w:cs="Times New Roman"/>
          <w:sz w:val="28"/>
          <w:szCs w:val="28"/>
          <w:lang w:val="en-US" w:eastAsia="zh-CN"/>
        </w:rPr>
        <w:t>水沟、沉淀池等设施的定期巡查和清淤管护，按每年不少于***次估算。实际实施中，雨季和汛期适当加大巡查清淤管护力度。</w:t>
      </w:r>
    </w:p>
    <w:p>
      <w:pPr>
        <w:numPr>
          <w:ilvl w:val="0"/>
          <w:numId w:val="3"/>
        </w:numPr>
        <w:spacing w:line="360" w:lineRule="auto"/>
        <w:ind w:firstLine="562" w:firstLineChars="200"/>
        <w:rPr>
          <w:rFonts w:hint="default" w:ascii="Times New Roman" w:hAnsi="Times New Roman" w:eastAsia="宋体" w:cs="Times New Roman"/>
          <w:b/>
          <w:sz w:val="28"/>
          <w:szCs w:val="28"/>
          <w:lang w:val="en-US" w:eastAsia="zh-CN"/>
        </w:rPr>
      </w:pPr>
      <w:r>
        <w:rPr>
          <w:rFonts w:hint="default" w:ascii="Times New Roman" w:hAnsi="Times New Roman" w:eastAsia="宋体" w:cs="Times New Roman"/>
          <w:b/>
          <w:sz w:val="28"/>
          <w:szCs w:val="28"/>
          <w:lang w:val="en-US" w:eastAsia="zh-CN"/>
        </w:rPr>
        <w:t>工程进度安排及年度安排</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本方案考虑大部分复垦工程需闭坑后才能实施，加上土地复垦工作有季节性限制，预计滞后1年，另加管护期3年。</w:t>
      </w:r>
      <w:r>
        <w:rPr>
          <w:rFonts w:hint="default" w:ascii="Times New Roman" w:hAnsi="Times New Roman" w:eastAsia="宋体" w:cs="Times New Roman"/>
          <w:sz w:val="28"/>
          <w:szCs w:val="28"/>
          <w:lang w:val="en-US" w:eastAsia="zh-CN"/>
        </w:rPr>
        <w:t>加上1年左右的前期筹建和基建时间</w:t>
      </w:r>
      <w:r>
        <w:rPr>
          <w:rFonts w:hint="default" w:ascii="Times New Roman" w:hAnsi="Times New Roman" w:eastAsia="宋体" w:cs="Times New Roman"/>
          <w:sz w:val="28"/>
          <w:szCs w:val="28"/>
        </w:rPr>
        <w:t>，方案适用期为</w:t>
      </w:r>
      <w:r>
        <w:rPr>
          <w:rFonts w:hint="default" w:ascii="Times New Roman" w:hAnsi="Times New Roman" w:eastAsia="宋体" w:cs="Times New Roman"/>
          <w:sz w:val="28"/>
          <w:szCs w:val="28"/>
          <w:lang w:val="en-US" w:eastAsia="zh-CN"/>
        </w:rPr>
        <w:t>***</w:t>
      </w:r>
      <w:r>
        <w:rPr>
          <w:rFonts w:hint="default" w:ascii="Times New Roman" w:hAnsi="Times New Roman" w:eastAsia="宋体" w:cs="Times New Roman"/>
          <w:sz w:val="28"/>
          <w:szCs w:val="28"/>
        </w:rPr>
        <w:t>年。</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具体工程进度计划为：第1年为矿山筹建和基建时间；第2年矿山开始开采，建设生态保护保育工程的宣传警示牌、生态修复工程的绿化工程、沉淀池工程、截（排）水沟工程（不包括终了平台的截水沟和排水沟）、排土场挡土墙（上层挡土墙依实际堆土进度修建）、防护围栏工程以及年度监测和管护工程；第3年至第11年根据矿山开采进度依次对上年度开采的开采台阶进行复垦，对上年度复垦的林地进行管护，并落实其他年度监测和管护工程；第12年矿山闭坑后，完成终了平台、排土场和工业广场的复垦工程，建设终了平台截水沟和排水沟，完成年度监测和管护工程；第13至第15年落实3年管护期的监测工程和上年度复垦林地的管护工程、年度设施管护工程。</w:t>
      </w:r>
    </w:p>
    <w:p>
      <w:pPr>
        <w:numPr>
          <w:ilvl w:val="0"/>
          <w:numId w:val="3"/>
        </w:numPr>
        <w:spacing w:line="360" w:lineRule="auto"/>
        <w:ind w:firstLine="562" w:firstLineChars="200"/>
        <w:rPr>
          <w:rFonts w:hint="default" w:ascii="Times New Roman" w:hAnsi="Times New Roman" w:eastAsia="宋体" w:cs="Times New Roman"/>
          <w:b/>
          <w:sz w:val="28"/>
          <w:szCs w:val="28"/>
          <w:lang w:val="en-US" w:eastAsia="zh-CN"/>
        </w:rPr>
      </w:pPr>
      <w:r>
        <w:rPr>
          <w:rFonts w:hint="default" w:ascii="Times New Roman" w:hAnsi="Times New Roman" w:eastAsia="宋体" w:cs="Times New Roman"/>
          <w:b/>
          <w:sz w:val="28"/>
          <w:szCs w:val="28"/>
          <w:lang w:val="en-US" w:eastAsia="zh-CN"/>
        </w:rPr>
        <w:t>生态保护修复工程量汇总及年度安排表</w:t>
      </w:r>
    </w:p>
    <w:p>
      <w:pPr>
        <w:numPr>
          <w:ilvl w:val="0"/>
          <w:numId w:val="3"/>
        </w:numPr>
        <w:spacing w:line="360" w:lineRule="auto"/>
        <w:ind w:firstLine="562" w:firstLineChars="200"/>
        <w:rPr>
          <w:rFonts w:hint="default" w:ascii="Times New Roman" w:hAnsi="Times New Roman" w:eastAsia="宋体" w:cs="Times New Roman"/>
          <w:b/>
          <w:sz w:val="28"/>
          <w:szCs w:val="28"/>
          <w:lang w:val="en-US" w:eastAsia="zh-CN"/>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0" w:lineRule="atLeast"/>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表4-</w:t>
      </w:r>
      <w:r>
        <w:rPr>
          <w:rFonts w:hint="eastAsia" w:ascii="Times New Roman" w:hAnsi="Times New Roman" w:eastAsia="宋体" w:cs="Times New Roman"/>
          <w:b/>
          <w:sz w:val="24"/>
          <w:szCs w:val="24"/>
          <w:lang w:val="en-US" w:eastAsia="zh-CN"/>
        </w:rPr>
        <w:t>8</w:t>
      </w:r>
      <w:r>
        <w:rPr>
          <w:rFonts w:hint="default" w:ascii="Times New Roman" w:hAnsi="Times New Roman" w:eastAsia="宋体" w:cs="Times New Roman"/>
          <w:b/>
          <w:sz w:val="24"/>
          <w:szCs w:val="24"/>
        </w:rPr>
        <w:t xml:space="preserve"> 矿山生态</w:t>
      </w:r>
      <w:r>
        <w:rPr>
          <w:rFonts w:hint="default" w:ascii="Times New Roman" w:hAnsi="Times New Roman" w:eastAsia="宋体" w:cs="Times New Roman"/>
          <w:b/>
          <w:sz w:val="24"/>
          <w:szCs w:val="24"/>
          <w:lang w:val="en-US" w:eastAsia="zh-CN"/>
        </w:rPr>
        <w:t>保护</w:t>
      </w:r>
      <w:r>
        <w:rPr>
          <w:rFonts w:hint="default" w:ascii="Times New Roman" w:hAnsi="Times New Roman" w:eastAsia="宋体" w:cs="Times New Roman"/>
          <w:b/>
          <w:sz w:val="24"/>
          <w:szCs w:val="24"/>
        </w:rPr>
        <w:t>修复工程</w:t>
      </w:r>
      <w:r>
        <w:rPr>
          <w:rFonts w:hint="default" w:ascii="Times New Roman" w:hAnsi="Times New Roman" w:eastAsia="宋体" w:cs="Times New Roman"/>
          <w:b/>
          <w:sz w:val="24"/>
          <w:szCs w:val="24"/>
          <w:lang w:val="en-US" w:eastAsia="zh-CN"/>
        </w:rPr>
        <w:t>量汇总</w:t>
      </w:r>
      <w:r>
        <w:rPr>
          <w:rFonts w:hint="default" w:ascii="Times New Roman" w:hAnsi="Times New Roman" w:eastAsia="宋体" w:cs="Times New Roman"/>
          <w:b/>
          <w:sz w:val="24"/>
          <w:szCs w:val="24"/>
        </w:rPr>
        <w:t>表</w:t>
      </w:r>
    </w:p>
    <w:tbl>
      <w:tblPr>
        <w:tblStyle w:val="12"/>
        <w:tblW w:w="4996" w:type="pct"/>
        <w:tblInd w:w="0" w:type="dxa"/>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2291"/>
        <w:gridCol w:w="1873"/>
        <w:gridCol w:w="2318"/>
        <w:gridCol w:w="5924"/>
        <w:gridCol w:w="887"/>
        <w:gridCol w:w="870"/>
      </w:tblGrid>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2" w:hRule="atLeast"/>
        </w:trPr>
        <w:tc>
          <w:tcPr>
            <w:tcW w:w="1470" w:type="pct"/>
            <w:gridSpan w:val="2"/>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治理工程</w:t>
            </w:r>
          </w:p>
        </w:tc>
        <w:tc>
          <w:tcPr>
            <w:tcW w:w="818"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分项工程</w:t>
            </w:r>
          </w:p>
        </w:tc>
        <w:tc>
          <w:tcPr>
            <w:tcW w:w="2091" w:type="pct"/>
            <w:vMerge w:val="restar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技术手段</w:t>
            </w:r>
          </w:p>
        </w:tc>
        <w:tc>
          <w:tcPr>
            <w:tcW w:w="313" w:type="pct"/>
            <w:vMerge w:val="restar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单位</w:t>
            </w:r>
          </w:p>
        </w:tc>
        <w:tc>
          <w:tcPr>
            <w:tcW w:w="307" w:type="pct"/>
            <w:vMerge w:val="restar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合计</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2" w:hRule="atLeast"/>
        </w:trPr>
        <w:tc>
          <w:tcPr>
            <w:tcW w:w="1470" w:type="pct"/>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2091"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313"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307" w:type="pct"/>
            <w:vMerge w:val="continue"/>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0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（一）生态保护保育工程</w:t>
            </w:r>
          </w:p>
        </w:tc>
        <w:tc>
          <w:tcPr>
            <w:tcW w:w="66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1、生态保护宣传</w:t>
            </w:r>
          </w:p>
        </w:tc>
        <w:tc>
          <w:tcPr>
            <w:tcW w:w="81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宣传警示牌</w:t>
            </w:r>
          </w:p>
        </w:tc>
        <w:tc>
          <w:tcPr>
            <w:tcW w:w="209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宣传警示牌</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块</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809"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（二）生态修复工程</w:t>
            </w:r>
          </w:p>
        </w:tc>
        <w:tc>
          <w:tcPr>
            <w:tcW w:w="660"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1、地形地貌景观修复工程</w:t>
            </w:r>
          </w:p>
        </w:tc>
        <w:tc>
          <w:tcPr>
            <w:tcW w:w="818"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绿化工程</w:t>
            </w:r>
          </w:p>
        </w:tc>
        <w:tc>
          <w:tcPr>
            <w:tcW w:w="209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矿山公路绿化</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209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工业广场绿化</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2、土地复垦与生物多样性恢复工程</w:t>
            </w:r>
          </w:p>
        </w:tc>
        <w:tc>
          <w:tcPr>
            <w:tcW w:w="818"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开采台阶复垦</w:t>
            </w:r>
          </w:p>
        </w:tc>
        <w:tc>
          <w:tcPr>
            <w:tcW w:w="209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覆土及平整、预留截水毛沟、砌筑格宾网挡土墙</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209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植被工程：种植灌木及攀爬植物、撒播草籽</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终了平台复垦</w:t>
            </w:r>
          </w:p>
        </w:tc>
        <w:tc>
          <w:tcPr>
            <w:tcW w:w="209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覆土及平整</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209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植被工程：种植乔木、灌木，撒播草籽</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排土场复垦</w:t>
            </w:r>
          </w:p>
        </w:tc>
        <w:tc>
          <w:tcPr>
            <w:tcW w:w="209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平整</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209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植被工程：种植乔木、灌木，撒播草籽</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工业广场复垦</w:t>
            </w:r>
          </w:p>
        </w:tc>
        <w:tc>
          <w:tcPr>
            <w:tcW w:w="209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砌体清运、覆土及平整</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209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植被工程：种植乔木、灌木，撒播草籽</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3、水资源水生态修复与改善工程</w:t>
            </w:r>
          </w:p>
        </w:tc>
        <w:tc>
          <w:tcPr>
            <w:tcW w:w="818"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沉淀池工程</w:t>
            </w:r>
          </w:p>
        </w:tc>
        <w:tc>
          <w:tcPr>
            <w:tcW w:w="209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露采场沉淀池</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座</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209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排土场沉淀池</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座</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209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工业广场沉淀池</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座</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截（排）水沟工程</w:t>
            </w:r>
          </w:p>
        </w:tc>
        <w:tc>
          <w:tcPr>
            <w:tcW w:w="209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环露采场截水沟</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209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排土场截水沟</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209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矿山道路截水沟</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209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终了平台截水沟</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209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终了平台排水沟</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4、矿山地质灾害防治工程</w:t>
            </w:r>
          </w:p>
        </w:tc>
        <w:tc>
          <w:tcPr>
            <w:tcW w:w="81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挡土墙工程</w:t>
            </w:r>
          </w:p>
        </w:tc>
        <w:tc>
          <w:tcPr>
            <w:tcW w:w="209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排土场挡土墙</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防护围栏</w:t>
            </w:r>
          </w:p>
        </w:tc>
        <w:tc>
          <w:tcPr>
            <w:tcW w:w="209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露采场防护围栏</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209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沉淀池防护围栏</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809"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（三）监测和管护工程</w:t>
            </w:r>
          </w:p>
        </w:tc>
        <w:tc>
          <w:tcPr>
            <w:tcW w:w="660"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1、监测工程</w:t>
            </w:r>
          </w:p>
        </w:tc>
        <w:tc>
          <w:tcPr>
            <w:tcW w:w="81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露采场和排土场边坡监测</w:t>
            </w:r>
          </w:p>
        </w:tc>
        <w:tc>
          <w:tcPr>
            <w:tcW w:w="209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地质灾害人工巡查</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次·月</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水质监测</w:t>
            </w:r>
          </w:p>
        </w:tc>
        <w:tc>
          <w:tcPr>
            <w:tcW w:w="209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水质化验、分析（3处）</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次·季</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土壤监测</w:t>
            </w:r>
          </w:p>
        </w:tc>
        <w:tc>
          <w:tcPr>
            <w:tcW w:w="209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土壤化验分析</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次·年</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植被巡查</w:t>
            </w:r>
          </w:p>
        </w:tc>
        <w:tc>
          <w:tcPr>
            <w:tcW w:w="209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人工巡查植被</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次·年</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2、管护工程</w:t>
            </w:r>
          </w:p>
        </w:tc>
        <w:tc>
          <w:tcPr>
            <w:tcW w:w="81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林地管护</w:t>
            </w:r>
          </w:p>
        </w:tc>
        <w:tc>
          <w:tcPr>
            <w:tcW w:w="209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林地管护</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公顷·年</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80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6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81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设施管护工程</w:t>
            </w:r>
          </w:p>
        </w:tc>
        <w:tc>
          <w:tcPr>
            <w:tcW w:w="209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截(排)水沟、沉淀池定期清淤</w:t>
            </w:r>
          </w:p>
        </w:tc>
        <w:tc>
          <w:tcPr>
            <w:tcW w:w="313"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次</w:t>
            </w:r>
          </w:p>
        </w:tc>
        <w:tc>
          <w:tcPr>
            <w:tcW w:w="307"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bl>
    <w:p>
      <w:pPr>
        <w:spacing w:line="0" w:lineRule="atLeast"/>
        <w:ind w:firstLine="482" w:firstLineChars="200"/>
        <w:jc w:val="center"/>
        <w:rPr>
          <w:rFonts w:hint="default" w:ascii="Times New Roman" w:hAnsi="Times New Roman" w:eastAsia="宋体" w:cs="Times New Roman"/>
          <w:b/>
          <w:sz w:val="24"/>
          <w:szCs w:val="24"/>
        </w:rPr>
      </w:pPr>
    </w:p>
    <w:p>
      <w:pPr>
        <w:spacing w:line="0" w:lineRule="atLeast"/>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表4-</w:t>
      </w:r>
      <w:r>
        <w:rPr>
          <w:rFonts w:hint="eastAsia" w:ascii="Times New Roman" w:hAnsi="Times New Roman" w:eastAsia="宋体" w:cs="Times New Roman"/>
          <w:b/>
          <w:sz w:val="24"/>
          <w:szCs w:val="24"/>
          <w:lang w:val="en-US" w:eastAsia="zh-CN"/>
        </w:rPr>
        <w:t>9</w:t>
      </w:r>
      <w:r>
        <w:rPr>
          <w:rFonts w:hint="default" w:ascii="Times New Roman" w:hAnsi="Times New Roman" w:eastAsia="宋体" w:cs="Times New Roman"/>
          <w:b/>
          <w:sz w:val="24"/>
          <w:szCs w:val="24"/>
        </w:rPr>
        <w:t xml:space="preserve"> 矿山生态</w:t>
      </w:r>
      <w:r>
        <w:rPr>
          <w:rFonts w:hint="default" w:ascii="Times New Roman" w:hAnsi="Times New Roman" w:eastAsia="宋体" w:cs="Times New Roman"/>
          <w:b/>
          <w:sz w:val="24"/>
          <w:szCs w:val="24"/>
          <w:lang w:val="en-US" w:eastAsia="zh-CN"/>
        </w:rPr>
        <w:t>保护</w:t>
      </w:r>
      <w:r>
        <w:rPr>
          <w:rFonts w:hint="default" w:ascii="Times New Roman" w:hAnsi="Times New Roman" w:eastAsia="宋体" w:cs="Times New Roman"/>
          <w:b/>
          <w:sz w:val="24"/>
          <w:szCs w:val="24"/>
        </w:rPr>
        <w:t>修复工程年度安排表</w:t>
      </w:r>
    </w:p>
    <w:tbl>
      <w:tblPr>
        <w:tblStyle w:val="12"/>
        <w:tblW w:w="13867" w:type="dxa"/>
        <w:tblInd w:w="96" w:type="dxa"/>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50"/>
        <w:gridCol w:w="1102"/>
        <w:gridCol w:w="1343"/>
        <w:gridCol w:w="1966"/>
        <w:gridCol w:w="551"/>
        <w:gridCol w:w="548"/>
        <w:gridCol w:w="341"/>
        <w:gridCol w:w="519"/>
        <w:gridCol w:w="519"/>
        <w:gridCol w:w="519"/>
        <w:gridCol w:w="519"/>
        <w:gridCol w:w="519"/>
        <w:gridCol w:w="519"/>
        <w:gridCol w:w="519"/>
        <w:gridCol w:w="519"/>
        <w:gridCol w:w="519"/>
        <w:gridCol w:w="519"/>
        <w:gridCol w:w="519"/>
        <w:gridCol w:w="519"/>
        <w:gridCol w:w="519"/>
        <w:gridCol w:w="519"/>
      </w:tblGrid>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2" w:hRule="exact"/>
          <w:tblHeader/>
        </w:trPr>
        <w:tc>
          <w:tcPr>
            <w:tcW w:w="1852" w:type="dxa"/>
            <w:gridSpan w:val="2"/>
            <w:vMerge w:val="restar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治理工程</w:t>
            </w:r>
          </w:p>
        </w:tc>
        <w:tc>
          <w:tcPr>
            <w:tcW w:w="1343" w:type="dxa"/>
            <w:vMerge w:val="restar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分项工程</w:t>
            </w:r>
          </w:p>
        </w:tc>
        <w:tc>
          <w:tcPr>
            <w:tcW w:w="1966" w:type="dxa"/>
            <w:vMerge w:val="restart"/>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技术手段</w:t>
            </w:r>
          </w:p>
        </w:tc>
        <w:tc>
          <w:tcPr>
            <w:tcW w:w="551" w:type="dxa"/>
            <w:vMerge w:val="restart"/>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单位</w:t>
            </w:r>
          </w:p>
        </w:tc>
        <w:tc>
          <w:tcPr>
            <w:tcW w:w="548" w:type="dxa"/>
            <w:vMerge w:val="restart"/>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合计</w:t>
            </w:r>
          </w:p>
        </w:tc>
        <w:tc>
          <w:tcPr>
            <w:tcW w:w="7607" w:type="dxa"/>
            <w:gridSpan w:val="15"/>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年度工程量（第N年）</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2" w:hRule="exact"/>
          <w:tblHeader/>
        </w:trPr>
        <w:tc>
          <w:tcPr>
            <w:tcW w:w="1852" w:type="dxa"/>
            <w:gridSpan w:val="2"/>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p>
        </w:tc>
        <w:tc>
          <w:tcPr>
            <w:tcW w:w="1343"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p>
        </w:tc>
        <w:tc>
          <w:tcPr>
            <w:tcW w:w="1966" w:type="dxa"/>
            <w:vMerge w:val="continue"/>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p>
        </w:tc>
        <w:tc>
          <w:tcPr>
            <w:tcW w:w="551" w:type="dxa"/>
            <w:vMerge w:val="continue"/>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p>
        </w:tc>
        <w:tc>
          <w:tcPr>
            <w:tcW w:w="548" w:type="dxa"/>
            <w:vMerge w:val="continue"/>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1</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2</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3</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4</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5</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6</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7</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8</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9</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10</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11</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12</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13</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14</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15</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2" w:hRule="exact"/>
        </w:trPr>
        <w:tc>
          <w:tcPr>
            <w:tcW w:w="750"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（一）生态保护保育工程</w:t>
            </w:r>
          </w:p>
        </w:tc>
        <w:tc>
          <w:tcPr>
            <w:tcW w:w="1102"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1、生态保护宣传</w:t>
            </w:r>
          </w:p>
        </w:tc>
        <w:tc>
          <w:tcPr>
            <w:tcW w:w="1343"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宣传警示牌</w:t>
            </w:r>
          </w:p>
        </w:tc>
        <w:tc>
          <w:tcPr>
            <w:tcW w:w="1966"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宣传警示牌</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块</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2" w:hRule="exact"/>
        </w:trPr>
        <w:tc>
          <w:tcPr>
            <w:tcW w:w="750" w:type="dxa"/>
            <w:vMerge w:val="restar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（二）生态修复工程</w:t>
            </w:r>
          </w:p>
        </w:tc>
        <w:tc>
          <w:tcPr>
            <w:tcW w:w="1102" w:type="dxa"/>
            <w:vMerge w:val="restar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1、地形地貌景观修复工程</w:t>
            </w:r>
          </w:p>
        </w:tc>
        <w:tc>
          <w:tcPr>
            <w:tcW w:w="1343" w:type="dxa"/>
            <w:vMerge w:val="restar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绿化工程</w:t>
            </w:r>
          </w:p>
        </w:tc>
        <w:tc>
          <w:tcPr>
            <w:tcW w:w="1966"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矿山公路绿化</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343"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966"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工业广场绿化</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restar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2、土地复垦与生物多样性恢复工程</w:t>
            </w:r>
          </w:p>
        </w:tc>
        <w:tc>
          <w:tcPr>
            <w:tcW w:w="1343" w:type="dxa"/>
            <w:vMerge w:val="restar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开采台阶复垦</w:t>
            </w:r>
          </w:p>
        </w:tc>
        <w:tc>
          <w:tcPr>
            <w:tcW w:w="1966"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覆土及平整、预留截水毛沟、砌筑格宾网挡土墙</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343"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966"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植被工程：种植灌木及攀爬植物、撒播草籽</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343" w:type="dxa"/>
            <w:vMerge w:val="restar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终了平台复垦</w:t>
            </w:r>
          </w:p>
        </w:tc>
        <w:tc>
          <w:tcPr>
            <w:tcW w:w="1966"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覆土及平整</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343"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966"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植被工程：种植乔木、灌木，撒播草籽</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343" w:type="dxa"/>
            <w:vMerge w:val="restar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排土场复垦</w:t>
            </w:r>
          </w:p>
        </w:tc>
        <w:tc>
          <w:tcPr>
            <w:tcW w:w="1966"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平整</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343"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966"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植被工程：种植乔木、灌木，撒播草籽</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343" w:type="dxa"/>
            <w:vMerge w:val="restar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工业广场复垦</w:t>
            </w:r>
          </w:p>
        </w:tc>
        <w:tc>
          <w:tcPr>
            <w:tcW w:w="1966"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砌体清运、覆土及平整</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343"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966"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植被工程：种植乔木、灌木，撒播草籽</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restar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3、水资源水生态修复与改善工程</w:t>
            </w:r>
          </w:p>
        </w:tc>
        <w:tc>
          <w:tcPr>
            <w:tcW w:w="1343" w:type="dxa"/>
            <w:vMerge w:val="restar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沉淀池工程</w:t>
            </w:r>
          </w:p>
        </w:tc>
        <w:tc>
          <w:tcPr>
            <w:tcW w:w="1966"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露采场沉淀池</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座</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343"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966"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排土场沉淀池</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座</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343"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966"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工业广场沉淀池</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座</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343" w:type="dxa"/>
            <w:vMerge w:val="restar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截（排）水沟工程</w:t>
            </w:r>
          </w:p>
        </w:tc>
        <w:tc>
          <w:tcPr>
            <w:tcW w:w="1966"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环露采场截水沟</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343"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966"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排土场截水沟</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343"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966"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矿山道路截水沟</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343"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966"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终了平台截水沟</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343"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966"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终了平台排水沟</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restar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4、矿山地质灾害防治工程</w:t>
            </w:r>
          </w:p>
        </w:tc>
        <w:tc>
          <w:tcPr>
            <w:tcW w:w="1343"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挡土墙工程</w:t>
            </w:r>
          </w:p>
        </w:tc>
        <w:tc>
          <w:tcPr>
            <w:tcW w:w="1966"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排土场挡土墙</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343" w:type="dxa"/>
            <w:vMerge w:val="restar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防护围栏</w:t>
            </w:r>
          </w:p>
        </w:tc>
        <w:tc>
          <w:tcPr>
            <w:tcW w:w="1966"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露采场防护围栏</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343"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966"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沉淀池防护围栏</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2" w:hRule="exact"/>
        </w:trPr>
        <w:tc>
          <w:tcPr>
            <w:tcW w:w="750" w:type="dxa"/>
            <w:vMerge w:val="restar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（三）监测和管护工程</w:t>
            </w:r>
          </w:p>
        </w:tc>
        <w:tc>
          <w:tcPr>
            <w:tcW w:w="1102" w:type="dxa"/>
            <w:vMerge w:val="restar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1、监测工程</w:t>
            </w:r>
          </w:p>
        </w:tc>
        <w:tc>
          <w:tcPr>
            <w:tcW w:w="1343"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露采场和排土场边坡监测</w:t>
            </w:r>
          </w:p>
        </w:tc>
        <w:tc>
          <w:tcPr>
            <w:tcW w:w="1966"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地质灾害人工巡查</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次·月</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343"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水质监测</w:t>
            </w:r>
          </w:p>
        </w:tc>
        <w:tc>
          <w:tcPr>
            <w:tcW w:w="1966"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水质化验、分析（3处）</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次·季</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343"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土壤监测</w:t>
            </w:r>
          </w:p>
        </w:tc>
        <w:tc>
          <w:tcPr>
            <w:tcW w:w="1966"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土壤化验分析</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次·年</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343"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植被巡查</w:t>
            </w:r>
          </w:p>
        </w:tc>
        <w:tc>
          <w:tcPr>
            <w:tcW w:w="1966"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人工巡查植被</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次·年</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restar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2、管护工程</w:t>
            </w:r>
          </w:p>
        </w:tc>
        <w:tc>
          <w:tcPr>
            <w:tcW w:w="1343"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林地管护</w:t>
            </w:r>
          </w:p>
        </w:tc>
        <w:tc>
          <w:tcPr>
            <w:tcW w:w="1966"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林地管护</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公顷·年</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750"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102" w:type="dxa"/>
            <w:vMerge w:val="continue"/>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tc>
        <w:tc>
          <w:tcPr>
            <w:tcW w:w="1343"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设施管护工程</w:t>
            </w:r>
          </w:p>
        </w:tc>
        <w:tc>
          <w:tcPr>
            <w:tcW w:w="1966"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截(排)水沟、沉淀池定期清淤</w:t>
            </w:r>
          </w:p>
        </w:tc>
        <w:tc>
          <w:tcPr>
            <w:tcW w:w="55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次</w:t>
            </w:r>
          </w:p>
        </w:tc>
        <w:tc>
          <w:tcPr>
            <w:tcW w:w="548"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341"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c>
          <w:tcPr>
            <w:tcW w:w="519" w:type="dxa"/>
            <w:tcBorders>
              <w:tl2br w:val="nil"/>
              <w:tr2bl w:val="nil"/>
            </w:tcBorders>
            <w:shd w:val="clear" w:color="auto" w:fill="auto"/>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r>
              <w:rPr>
                <w:rFonts w:hint="eastAsia"/>
              </w:rPr>
              <w:t>***</w:t>
            </w:r>
          </w:p>
        </w:tc>
      </w:tr>
    </w:tbl>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18"/>
          <w:szCs w:val="18"/>
          <w:lang w:val="en-US" w:eastAsia="zh-CN"/>
        </w:rPr>
      </w:pPr>
    </w:p>
    <w:p>
      <w:pPr>
        <w:spacing w:line="360" w:lineRule="auto"/>
        <w:rPr>
          <w:rFonts w:hint="default" w:ascii="Times New Roman" w:hAnsi="Times New Roman" w:eastAsia="宋体" w:cs="Times New Roman"/>
          <w:sz w:val="28"/>
          <w:szCs w:val="28"/>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numPr>
          <w:ilvl w:val="0"/>
          <w:numId w:val="1"/>
        </w:numPr>
        <w:jc w:val="center"/>
        <w:rPr>
          <w:rFonts w:hint="default" w:ascii="Times New Roman" w:hAnsi="Times New Roman" w:eastAsia="黑体" w:cs="Times New Roman"/>
        </w:rPr>
      </w:pPr>
      <w:bookmarkStart w:id="21" w:name="_Toc155772674"/>
      <w:r>
        <w:rPr>
          <w:rFonts w:hint="default" w:ascii="Times New Roman" w:hAnsi="Times New Roman" w:eastAsia="黑体" w:cs="Times New Roman"/>
        </w:rPr>
        <w:t>经费估算与基金管理</w:t>
      </w:r>
      <w:bookmarkEnd w:id="21"/>
    </w:p>
    <w:p>
      <w:pPr>
        <w:pStyle w:val="3"/>
        <w:rPr>
          <w:rFonts w:hint="default" w:ascii="Times New Roman" w:hAnsi="Times New Roman" w:eastAsia="宋体" w:cs="Times New Roman"/>
        </w:rPr>
      </w:pPr>
      <w:bookmarkStart w:id="22" w:name="_Toc155772675"/>
      <w:r>
        <w:rPr>
          <w:rFonts w:hint="default" w:ascii="Times New Roman" w:hAnsi="Times New Roman" w:eastAsia="宋体" w:cs="Times New Roman"/>
        </w:rPr>
        <w:t>一、</w:t>
      </w:r>
      <w:r>
        <w:rPr>
          <w:rFonts w:hint="default" w:ascii="Times New Roman" w:hAnsi="Times New Roman" w:eastAsia="宋体" w:cs="Times New Roman"/>
        </w:rPr>
        <w:tab/>
      </w:r>
      <w:r>
        <w:rPr>
          <w:rFonts w:hint="default" w:ascii="Times New Roman" w:hAnsi="Times New Roman" w:eastAsia="宋体" w:cs="Times New Roman"/>
        </w:rPr>
        <w:t>经费估算</w:t>
      </w:r>
      <w:bookmarkEnd w:id="22"/>
    </w:p>
    <w:p>
      <w:pPr>
        <w:spacing w:line="360" w:lineRule="auto"/>
        <w:ind w:firstLine="562" w:firstLineChars="2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（一）经费估算原则</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1、符合国家有关</w:t>
      </w:r>
      <w:r>
        <w:rPr>
          <w:rFonts w:hint="default" w:ascii="Times New Roman" w:hAnsi="Times New Roman" w:eastAsia="宋体" w:cs="Times New Roman"/>
          <w:sz w:val="28"/>
          <w:szCs w:val="28"/>
          <w:lang w:eastAsia="zh-CN"/>
        </w:rPr>
        <w:t>法律法规</w:t>
      </w:r>
      <w:r>
        <w:rPr>
          <w:rFonts w:hint="default" w:ascii="Times New Roman" w:hAnsi="Times New Roman" w:eastAsia="宋体" w:cs="Times New Roman"/>
          <w:sz w:val="28"/>
          <w:szCs w:val="28"/>
        </w:rPr>
        <w:t>规定；</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2、所有生态修复投资应进入工程估算中；</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3、工程建设与生态修复措施同步设计、公布建设投资；</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4、科学、合理、高效和准确的原则；</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5、实事求是、依据充分、公平合理的原则。</w:t>
      </w:r>
    </w:p>
    <w:p>
      <w:pPr>
        <w:spacing w:line="360" w:lineRule="auto"/>
        <w:ind w:firstLine="562" w:firstLineChars="2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（二）经费估算依据</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国家及有关部门的政策性文件</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财政部、国土资源部文件《财政部、国土资源部关于印发土地开发整理项目预算定额标准的通知》（财综〔2011〕128号）；</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财政部、国土资源部《关于印发〈新增建设用地土地有偿使用费资金管理办法〉的通知》（财建〔2017〕423号）；</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湖南省国土资源厅办公室文件关于发布《湖南省农村土地整治项目建设标准》的通知（湘国土资办发〔2014〕14号）；</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湖南省财政厅、湖南省国土资源厅关于印发《湖南省土地开发整理项目预算补充定额标准（试行）》的通知（湘财建〔2014〕22号）；</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5</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湖南省国土资源厅办公室关于增值税条件下调整土地整治项目预算计价依据的通知（湘国土资办〔2017〕24号）；</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6</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《湖南省矿山生态修复基金管理办法》（湘自然资规〔2022〕3号）；</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7</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《关于进一步加强新建和生产矿山生态保护修复工作的通知》（湘自资办发〔2021〕39号）。</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行业技术标准</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《土地整治项目规划设计规范》（TD/T1012-2016）；</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《湖南省土地开发整理项目工程建设标准》（试行）；</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2014年湖南省土地开发整理项目预算补充定额标准（试行）；</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《湖南省地方标准高标准农田建设》（DB43/T876.1-2014）；</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5</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土地整治工程建设标准编写规程（TD/T1045-2016）；</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6</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土地整治权属调整规范（TD/T1046-2016）；</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7</w:t>
      </w:r>
      <w:r>
        <w:rPr>
          <w:rFonts w:hint="default" w:ascii="Times New Roman" w:hAnsi="Times New Roman" w:eastAsia="宋体" w:cs="Times New Roman"/>
          <w:sz w:val="28"/>
          <w:szCs w:val="28"/>
          <w:lang w:eastAsia="zh-CN"/>
        </w:rPr>
        <w:t>）《岳阳市城乡建设事务中心关于发布202</w:t>
      </w:r>
      <w:r>
        <w:rPr>
          <w:rFonts w:hint="default"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lang w:eastAsia="zh-CN"/>
        </w:rPr>
        <w:t>年</w:t>
      </w:r>
      <w:r>
        <w:rPr>
          <w:rFonts w:hint="default"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lang w:eastAsia="zh-CN"/>
        </w:rPr>
        <w:t>月份建设工程材料市场综合价的通知》（岳建</w:t>
      </w:r>
      <w:r>
        <w:rPr>
          <w:rFonts w:hint="default" w:ascii="Times New Roman" w:hAnsi="Times New Roman" w:eastAsia="宋体" w:cs="Times New Roman"/>
          <w:sz w:val="28"/>
          <w:szCs w:val="28"/>
          <w:lang w:val="en-US" w:eastAsia="zh-CN"/>
        </w:rPr>
        <w:t>事</w:t>
      </w:r>
      <w:r>
        <w:rPr>
          <w:rFonts w:hint="default" w:ascii="Times New Roman" w:hAnsi="Times New Roman" w:eastAsia="宋体" w:cs="Times New Roman"/>
          <w:sz w:val="28"/>
          <w:szCs w:val="28"/>
          <w:lang w:eastAsia="zh-CN"/>
        </w:rPr>
        <w:t>价函〔20</w:t>
      </w:r>
      <w:r>
        <w:rPr>
          <w:rFonts w:hint="default" w:ascii="Times New Roman" w:hAnsi="Times New Roman" w:eastAsia="宋体" w:cs="Times New Roman"/>
          <w:sz w:val="28"/>
          <w:szCs w:val="28"/>
          <w:lang w:val="en-US" w:eastAsia="zh-CN"/>
        </w:rPr>
        <w:t>24</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lang w:eastAsia="zh-CN"/>
        </w:rPr>
        <w:t>号）</w:t>
      </w:r>
      <w:r>
        <w:rPr>
          <w:rFonts w:hint="default" w:ascii="Times New Roman" w:hAnsi="Times New Roman" w:eastAsia="宋体" w:cs="Times New Roman"/>
          <w:sz w:val="28"/>
          <w:szCs w:val="28"/>
        </w:rPr>
        <w:t>。</w:t>
      </w:r>
    </w:p>
    <w:p>
      <w:pPr>
        <w:spacing w:line="360" w:lineRule="auto"/>
        <w:ind w:firstLine="562" w:firstLineChars="2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（三）经费估算编制说明</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both"/>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rPr>
        <w:t>土地复垦费用包括工程施工费（含工程措施施工费和生化措施施工费）、设备购置费、其他费用（包括前期工作费、工程监理费、竣工验收费、业主管理费）、</w:t>
      </w:r>
      <w:r>
        <w:rPr>
          <w:rFonts w:hint="default" w:ascii="Times New Roman" w:hAnsi="Times New Roman" w:eastAsia="宋体" w:cs="Times New Roman"/>
          <w:snapToGrid w:val="0"/>
          <w:color w:val="000000"/>
          <w:spacing w:val="0"/>
          <w:w w:val="100"/>
          <w:kern w:val="0"/>
          <w:position w:val="0"/>
          <w:sz w:val="28"/>
          <w:szCs w:val="28"/>
          <w:lang w:val="en-US" w:eastAsia="zh-CN"/>
        </w:rPr>
        <w:t>不可预见费</w:t>
      </w:r>
      <w:r>
        <w:rPr>
          <w:rFonts w:hint="default" w:ascii="Times New Roman" w:hAnsi="Times New Roman" w:eastAsia="宋体" w:cs="Times New Roman"/>
          <w:snapToGrid w:val="0"/>
          <w:color w:val="000000"/>
          <w:spacing w:val="0"/>
          <w:w w:val="100"/>
          <w:kern w:val="0"/>
          <w:position w:val="0"/>
          <w:sz w:val="28"/>
          <w:szCs w:val="28"/>
        </w:rPr>
        <w:t>和</w:t>
      </w:r>
      <w:r>
        <w:rPr>
          <w:rFonts w:hint="default" w:ascii="Times New Roman" w:hAnsi="Times New Roman" w:eastAsia="宋体" w:cs="Times New Roman"/>
          <w:snapToGrid w:val="0"/>
          <w:color w:val="000000"/>
          <w:spacing w:val="0"/>
          <w:w w:val="100"/>
          <w:kern w:val="0"/>
          <w:position w:val="0"/>
          <w:sz w:val="28"/>
          <w:szCs w:val="28"/>
          <w:lang w:val="en-US" w:eastAsia="zh-CN"/>
        </w:rPr>
        <w:t>预留费用</w:t>
      </w:r>
      <w:r>
        <w:rPr>
          <w:rFonts w:hint="default" w:ascii="Times New Roman" w:hAnsi="Times New Roman" w:eastAsia="宋体" w:cs="Times New Roman"/>
          <w:snapToGrid w:val="0"/>
          <w:color w:val="000000"/>
          <w:spacing w:val="0"/>
          <w:w w:val="100"/>
          <w:kern w:val="0"/>
          <w:position w:val="0"/>
          <w:sz w:val="28"/>
          <w:szCs w:val="28"/>
        </w:rPr>
        <w:t>等组成。</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left"/>
        <w:textAlignment w:val="baseline"/>
        <w:outlineLvl w:val="2"/>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lang w:val="en-US" w:eastAsia="zh-CN"/>
        </w:rPr>
        <w:t>1、</w:t>
      </w:r>
      <w:r>
        <w:rPr>
          <w:rFonts w:hint="default" w:ascii="Times New Roman" w:hAnsi="Times New Roman" w:eastAsia="宋体" w:cs="Times New Roman"/>
          <w:snapToGrid w:val="0"/>
          <w:color w:val="000000"/>
          <w:spacing w:val="0"/>
          <w:w w:val="100"/>
          <w:kern w:val="0"/>
          <w:position w:val="0"/>
          <w:sz w:val="28"/>
          <w:szCs w:val="28"/>
        </w:rPr>
        <w:t>工程施工费</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both"/>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rPr>
        <w:t>工程施工费=税前工程造价×（1+9%），其中9%为增值税税率，税前工程造价为人工费，材料费，施工机械费，措施费，间接费，利润，材料价差和未计价材料之和。各费用项目均以不包含增值税可抵扣进项税额的价格计算。税前工程造价以不含增值税价格为计算基础，计取各项费用。</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left"/>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lang w:eastAsia="zh-CN"/>
        </w:rPr>
        <w:t>（</w:t>
      </w:r>
      <w:r>
        <w:rPr>
          <w:rFonts w:hint="default" w:ascii="Times New Roman" w:hAnsi="Times New Roman" w:eastAsia="宋体" w:cs="Times New Roman"/>
          <w:snapToGrid w:val="0"/>
          <w:color w:val="000000"/>
          <w:spacing w:val="0"/>
          <w:w w:val="100"/>
          <w:kern w:val="0"/>
          <w:position w:val="0"/>
          <w:sz w:val="28"/>
          <w:szCs w:val="28"/>
          <w:lang w:val="en-US" w:eastAsia="zh-CN"/>
        </w:rPr>
        <w:t>1</w:t>
      </w:r>
      <w:r>
        <w:rPr>
          <w:rFonts w:hint="default" w:ascii="Times New Roman" w:hAnsi="Times New Roman" w:eastAsia="宋体" w:cs="Times New Roman"/>
          <w:snapToGrid w:val="0"/>
          <w:color w:val="000000"/>
          <w:spacing w:val="0"/>
          <w:w w:val="100"/>
          <w:kern w:val="0"/>
          <w:position w:val="0"/>
          <w:sz w:val="28"/>
          <w:szCs w:val="28"/>
          <w:lang w:eastAsia="zh-CN"/>
        </w:rPr>
        <w:t>）</w:t>
      </w:r>
      <w:r>
        <w:rPr>
          <w:rFonts w:hint="default" w:ascii="Times New Roman" w:hAnsi="Times New Roman" w:eastAsia="宋体" w:cs="Times New Roman"/>
          <w:snapToGrid w:val="0"/>
          <w:color w:val="000000"/>
          <w:spacing w:val="0"/>
          <w:w w:val="100"/>
          <w:kern w:val="0"/>
          <w:position w:val="0"/>
          <w:sz w:val="28"/>
          <w:szCs w:val="28"/>
        </w:rPr>
        <w:t>直接费</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both"/>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rPr>
        <w:t>直接工程费由人工费、材料费和施工机械使用费组成。人工费=∑分项工程量×分项工程定额人工费+其他费用。分项工程定额人工费是人工单价与定额消耗标准的乘积。</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both"/>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rPr>
        <w:t>人工费计算，本项目按《湖南省水利水电工程设计概估算编制规定》（2015年）人工预算单价标准进行调整，甲类工按水利工程的高级工标准82.88元/工日、乙类工按中级工标准68.16元/工日计算。</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left"/>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rPr>
        <w:t>材料费=∑分项工程量×分项工程定额材料费+其他费用。</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both"/>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rPr>
        <w:t>其中材料预算单价组成内容中，材料原价、包装费、运输保险费、运杂费</w:t>
      </w:r>
      <w:r>
        <w:rPr>
          <w:rFonts w:hint="default" w:ascii="Times New Roman" w:hAnsi="Times New Roman" w:eastAsia="宋体" w:cs="Times New Roman"/>
          <w:snapToGrid w:val="0"/>
          <w:color w:val="000000"/>
          <w:spacing w:val="0"/>
          <w:w w:val="100"/>
          <w:kern w:val="0"/>
          <w:position w:val="0"/>
          <w:sz w:val="28"/>
          <w:szCs w:val="28"/>
          <w:lang w:eastAsia="zh-CN"/>
        </w:rPr>
        <w:t>和</w:t>
      </w:r>
      <w:r>
        <w:rPr>
          <w:rFonts w:hint="default" w:ascii="Times New Roman" w:hAnsi="Times New Roman" w:eastAsia="宋体" w:cs="Times New Roman"/>
          <w:snapToGrid w:val="0"/>
          <w:color w:val="000000"/>
          <w:spacing w:val="0"/>
          <w:w w:val="100"/>
          <w:kern w:val="0"/>
          <w:position w:val="0"/>
          <w:sz w:val="28"/>
          <w:szCs w:val="28"/>
        </w:rPr>
        <w:t>采购保管费分别按不含增值税可抵扣进项税额的价格规定，材料采购及保管费费率调整为2.17%。材料预算价格=材料含税价格/（1+综合税率）定额材料费是定额中各种材料估算价格与定额消耗量的乘积之和。材料估算价格应按当地物价部门提供的市场指导价（或当地造价管理部门发布的材料预算价格信息文件）进行估算，不得再计算运杂费、运输保险费和采购及保管费。</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both"/>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rPr>
        <w:t>注意：对块石、水泥及钢筋等十一类主要材料进行限价。当上述材料预算价格等于或小于“主材规定价格表”中所列的规定价格时，直接计入工程施工费单价；当材料预算价格大于“主材规定价格表”中所列的规定价格时，超出限价部分单独计算材料价差（只计取材料费和税金），不参与取费。</w:t>
      </w:r>
    </w:p>
    <w:p>
      <w:pPr>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br w:type="page"/>
      </w:r>
    </w:p>
    <w:p>
      <w:pPr>
        <w:spacing w:line="0" w:lineRule="atLeast"/>
        <w:ind w:firstLine="482" w:firstLineChars="200"/>
        <w:jc w:val="center"/>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表5-1主材料规定价格表</w:t>
      </w:r>
    </w:p>
    <w:tbl>
      <w:tblPr>
        <w:tblStyle w:val="23"/>
        <w:tblW w:w="4998" w:type="pct"/>
        <w:tblInd w:w="0" w:type="dxa"/>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Layout w:type="autofit"/>
        <w:tblCellMar>
          <w:top w:w="0" w:type="dxa"/>
          <w:left w:w="0" w:type="dxa"/>
          <w:bottom w:w="0" w:type="dxa"/>
          <w:right w:w="0" w:type="dxa"/>
        </w:tblCellMar>
      </w:tblPr>
      <w:tblGrid>
        <w:gridCol w:w="1192"/>
        <w:gridCol w:w="2959"/>
        <w:gridCol w:w="1193"/>
        <w:gridCol w:w="2959"/>
      </w:tblGrid>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rPr>
            </w:pPr>
            <w:r>
              <w:rPr>
                <w:rFonts w:hint="default" w:ascii="Times New Roman" w:hAnsi="Times New Roman" w:eastAsia="宋体" w:cs="Times New Roman"/>
                <w:b/>
                <w:bCs/>
                <w:snapToGrid w:val="0"/>
                <w:color w:val="000000"/>
                <w:spacing w:val="0"/>
                <w:w w:val="100"/>
                <w:kern w:val="0"/>
                <w:position w:val="0"/>
                <w:sz w:val="21"/>
                <w:szCs w:val="21"/>
              </w:rPr>
              <w:t>序号</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rPr>
            </w:pPr>
            <w:r>
              <w:rPr>
                <w:rFonts w:hint="default" w:ascii="Times New Roman" w:hAnsi="Times New Roman" w:eastAsia="宋体" w:cs="Times New Roman"/>
                <w:b/>
                <w:bCs/>
                <w:snapToGrid w:val="0"/>
                <w:color w:val="000000"/>
                <w:spacing w:val="0"/>
                <w:w w:val="100"/>
                <w:kern w:val="0"/>
                <w:position w:val="0"/>
                <w:sz w:val="21"/>
                <w:szCs w:val="21"/>
              </w:rPr>
              <w:t>材料名称</w:t>
            </w:r>
          </w:p>
        </w:tc>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rPr>
            </w:pPr>
            <w:r>
              <w:rPr>
                <w:rFonts w:hint="default" w:ascii="Times New Roman" w:hAnsi="Times New Roman" w:eastAsia="宋体" w:cs="Times New Roman"/>
                <w:b/>
                <w:bCs/>
                <w:snapToGrid w:val="0"/>
                <w:color w:val="000000"/>
                <w:spacing w:val="0"/>
                <w:w w:val="100"/>
                <w:kern w:val="0"/>
                <w:position w:val="0"/>
                <w:sz w:val="21"/>
                <w:szCs w:val="21"/>
              </w:rPr>
              <w:t>单位</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rPr>
            </w:pPr>
            <w:r>
              <w:rPr>
                <w:rFonts w:hint="default" w:ascii="Times New Roman" w:hAnsi="Times New Roman" w:eastAsia="宋体" w:cs="Times New Roman"/>
                <w:b/>
                <w:bCs/>
                <w:snapToGrid w:val="0"/>
                <w:color w:val="000000"/>
                <w:spacing w:val="0"/>
                <w:w w:val="100"/>
                <w:kern w:val="0"/>
                <w:position w:val="0"/>
                <w:sz w:val="21"/>
                <w:szCs w:val="21"/>
              </w:rPr>
              <w:t>限价（元）</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1</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块石、片石</w:t>
            </w:r>
          </w:p>
        </w:tc>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m³</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40</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2</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砂石、石子</w:t>
            </w:r>
          </w:p>
        </w:tc>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m³</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60</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3</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条石、料石</w:t>
            </w:r>
          </w:p>
        </w:tc>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m³</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70</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4</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水泥</w:t>
            </w:r>
          </w:p>
        </w:tc>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t</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300</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5</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标准砖</w:t>
            </w:r>
          </w:p>
        </w:tc>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千块</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240</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6</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钢筋</w:t>
            </w:r>
          </w:p>
        </w:tc>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t</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3500</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7</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柴油</w:t>
            </w:r>
          </w:p>
        </w:tc>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t</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4500</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8</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汽油</w:t>
            </w:r>
          </w:p>
        </w:tc>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t</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5000</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9</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锯材</w:t>
            </w:r>
          </w:p>
        </w:tc>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m³</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1200</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10</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生石灰</w:t>
            </w:r>
          </w:p>
        </w:tc>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t</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180</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11</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树苗</w:t>
            </w:r>
          </w:p>
        </w:tc>
        <w:tc>
          <w:tcPr>
            <w:tcW w:w="718"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株</w:t>
            </w:r>
          </w:p>
        </w:tc>
        <w:tc>
          <w:tcPr>
            <w:tcW w:w="1781"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5</w:t>
            </w:r>
          </w:p>
        </w:tc>
      </w:tr>
    </w:tbl>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both"/>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rPr>
        <w:t>施工机械费=∑分项工程量×分项工程定额机械费+其他费用。</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both"/>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rPr>
        <w:t>①机械人工费按甲类工工资标准计算；</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both"/>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rPr>
        <w:t>②动力燃料费中的电、风、水的价格应按以下计算公式计算：</w:t>
      </w:r>
    </w:p>
    <w:p>
      <w:pPr>
        <w:keepNext w:val="0"/>
        <w:keepLines w:val="0"/>
        <w:pageBreakBefore w:val="0"/>
        <w:widowControl/>
        <w:kinsoku/>
        <w:wordWrap/>
        <w:overflowPunct/>
        <w:topLinePunct/>
        <w:autoSpaceDE w:val="0"/>
        <w:autoSpaceDN w:val="0"/>
        <w:bidi w:val="0"/>
        <w:adjustRightInd w:val="0"/>
        <w:snapToGrid w:val="0"/>
        <w:spacing w:line="360" w:lineRule="auto"/>
        <w:ind w:left="123" w:right="145" w:firstLine="561"/>
        <w:jc w:val="both"/>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rPr>
        <w:t>施工用电价格：直接采用</w:t>
      </w:r>
      <w:r>
        <w:rPr>
          <w:rFonts w:hint="default" w:ascii="Times New Roman" w:hAnsi="Times New Roman" w:eastAsia="宋体" w:cs="Times New Roman"/>
          <w:snapToGrid w:val="0"/>
          <w:color w:val="000000"/>
          <w:spacing w:val="0"/>
          <w:w w:val="100"/>
          <w:kern w:val="0"/>
          <w:position w:val="0"/>
          <w:sz w:val="28"/>
          <w:szCs w:val="28"/>
          <w:lang w:eastAsia="zh-CN"/>
        </w:rPr>
        <w:t>岳建</w:t>
      </w:r>
      <w:r>
        <w:rPr>
          <w:rFonts w:hint="default" w:ascii="Times New Roman" w:hAnsi="Times New Roman" w:eastAsia="宋体" w:cs="Times New Roman"/>
          <w:snapToGrid w:val="0"/>
          <w:color w:val="000000"/>
          <w:spacing w:val="0"/>
          <w:w w:val="100"/>
          <w:kern w:val="0"/>
          <w:position w:val="0"/>
          <w:sz w:val="28"/>
          <w:szCs w:val="28"/>
          <w:lang w:val="en-US" w:eastAsia="zh-CN"/>
        </w:rPr>
        <w:t>事</w:t>
      </w:r>
      <w:r>
        <w:rPr>
          <w:rFonts w:hint="default" w:ascii="Times New Roman" w:hAnsi="Times New Roman" w:eastAsia="宋体" w:cs="Times New Roman"/>
          <w:snapToGrid w:val="0"/>
          <w:color w:val="000000"/>
          <w:spacing w:val="0"/>
          <w:w w:val="100"/>
          <w:kern w:val="0"/>
          <w:position w:val="0"/>
          <w:sz w:val="28"/>
          <w:szCs w:val="28"/>
          <w:lang w:eastAsia="zh-CN"/>
        </w:rPr>
        <w:t>价函〔20</w:t>
      </w:r>
      <w:r>
        <w:rPr>
          <w:rFonts w:hint="default" w:ascii="Times New Roman" w:hAnsi="Times New Roman" w:eastAsia="宋体" w:cs="Times New Roman"/>
          <w:snapToGrid w:val="0"/>
          <w:color w:val="000000"/>
          <w:spacing w:val="0"/>
          <w:w w:val="100"/>
          <w:kern w:val="0"/>
          <w:position w:val="0"/>
          <w:sz w:val="28"/>
          <w:szCs w:val="28"/>
          <w:lang w:val="en-US" w:eastAsia="zh-CN"/>
        </w:rPr>
        <w:t>24</w:t>
      </w:r>
      <w:r>
        <w:rPr>
          <w:rFonts w:hint="default" w:ascii="Times New Roman" w:hAnsi="Times New Roman" w:eastAsia="宋体" w:cs="Times New Roman"/>
          <w:snapToGrid w:val="0"/>
          <w:color w:val="000000"/>
          <w:spacing w:val="0"/>
          <w:w w:val="100"/>
          <w:kern w:val="0"/>
          <w:position w:val="0"/>
          <w:sz w:val="28"/>
          <w:szCs w:val="28"/>
          <w:lang w:eastAsia="zh-CN"/>
        </w:rPr>
        <w:t>〕</w:t>
      </w:r>
      <w:r>
        <w:rPr>
          <w:rFonts w:hint="default" w:ascii="Times New Roman" w:hAnsi="Times New Roman" w:eastAsia="宋体" w:cs="Times New Roman"/>
          <w:snapToGrid w:val="0"/>
          <w:color w:val="000000"/>
          <w:spacing w:val="0"/>
          <w:w w:val="100"/>
          <w:kern w:val="0"/>
          <w:position w:val="0"/>
          <w:sz w:val="28"/>
          <w:szCs w:val="28"/>
          <w:lang w:val="en-US" w:eastAsia="zh-CN"/>
        </w:rPr>
        <w:t>3</w:t>
      </w:r>
      <w:r>
        <w:rPr>
          <w:rFonts w:hint="default" w:ascii="Times New Roman" w:hAnsi="Times New Roman" w:eastAsia="宋体" w:cs="Times New Roman"/>
          <w:snapToGrid w:val="0"/>
          <w:color w:val="000000"/>
          <w:spacing w:val="0"/>
          <w:w w:val="100"/>
          <w:kern w:val="0"/>
          <w:position w:val="0"/>
          <w:sz w:val="28"/>
          <w:szCs w:val="28"/>
          <w:lang w:eastAsia="zh-CN"/>
        </w:rPr>
        <w:t>号</w:t>
      </w:r>
      <w:r>
        <w:rPr>
          <w:rFonts w:hint="default" w:ascii="Times New Roman" w:hAnsi="Times New Roman" w:eastAsia="宋体" w:cs="Times New Roman"/>
          <w:snapToGrid w:val="0"/>
          <w:color w:val="000000"/>
          <w:spacing w:val="0"/>
          <w:w w:val="100"/>
          <w:kern w:val="0"/>
          <w:position w:val="0"/>
          <w:sz w:val="28"/>
          <w:szCs w:val="28"/>
        </w:rPr>
        <w:t>的电价（***</w:t>
      </w:r>
      <w:r>
        <w:rPr>
          <w:rFonts w:hint="default" w:ascii="Times New Roman" w:hAnsi="Times New Roman" w:eastAsia="宋体" w:cs="Times New Roman"/>
          <w:snapToGrid w:val="0"/>
          <w:color w:val="000000"/>
          <w:spacing w:val="0"/>
          <w:w w:val="100"/>
          <w:kern w:val="0"/>
          <w:position w:val="0"/>
          <w:sz w:val="28"/>
          <w:szCs w:val="28"/>
          <w:lang w:val="en-US" w:eastAsia="zh-CN"/>
        </w:rPr>
        <w:t>元/</w:t>
      </w:r>
      <w:r>
        <w:rPr>
          <w:rFonts w:hint="default" w:ascii="Times New Roman" w:hAnsi="Times New Roman" w:eastAsia="宋体" w:cs="Times New Roman"/>
          <w:snapToGrid w:val="0"/>
          <w:color w:val="000000"/>
          <w:spacing w:val="0"/>
          <w:w w:val="100"/>
          <w:kern w:val="0"/>
          <w:position w:val="0"/>
          <w:sz w:val="28"/>
          <w:szCs w:val="28"/>
        </w:rPr>
        <w:t>k</w:t>
      </w:r>
      <w:r>
        <w:rPr>
          <w:rFonts w:hint="eastAsia" w:ascii="Times New Roman" w:hAnsi="Times New Roman" w:eastAsia="宋体" w:cs="Times New Roman"/>
          <w:snapToGrid w:val="0"/>
          <w:color w:val="000000"/>
          <w:spacing w:val="0"/>
          <w:w w:val="100"/>
          <w:kern w:val="0"/>
          <w:position w:val="0"/>
          <w:sz w:val="28"/>
          <w:szCs w:val="28"/>
          <w:lang w:val="en-US" w:eastAsia="zh-CN"/>
        </w:rPr>
        <w:t>w</w:t>
      </w:r>
      <w:r>
        <w:rPr>
          <w:rFonts w:hint="default" w:ascii="Times New Roman" w:hAnsi="Times New Roman" w:eastAsia="宋体" w:cs="Times New Roman"/>
          <w:snapToGrid w:val="0"/>
          <w:color w:val="000000"/>
          <w:spacing w:val="0"/>
          <w:w w:val="100"/>
          <w:kern w:val="0"/>
          <w:position w:val="0"/>
          <w:sz w:val="28"/>
          <w:szCs w:val="28"/>
        </w:rPr>
        <w:t>h）。</w:t>
      </w:r>
    </w:p>
    <w:p>
      <w:pPr>
        <w:keepNext w:val="0"/>
        <w:keepLines w:val="0"/>
        <w:pageBreakBefore w:val="0"/>
        <w:widowControl/>
        <w:kinsoku/>
        <w:wordWrap/>
        <w:overflowPunct/>
        <w:topLinePunct/>
        <w:autoSpaceDE w:val="0"/>
        <w:autoSpaceDN w:val="0"/>
        <w:bidi w:val="0"/>
        <w:adjustRightInd w:val="0"/>
        <w:snapToGrid w:val="0"/>
        <w:spacing w:line="360" w:lineRule="auto"/>
        <w:ind w:left="123" w:right="145" w:firstLine="561"/>
        <w:jc w:val="both"/>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rPr>
        <w:t>施工用风价格：依据设计，提供材料加工厂配置的2台电动3</w:t>
      </w:r>
      <w:r>
        <w:rPr>
          <w:rFonts w:hint="default" w:ascii="Times New Roman" w:hAnsi="Times New Roman" w:eastAsia="宋体" w:cs="Times New Roman"/>
          <w:snapToGrid w:val="0"/>
          <w:color w:val="000000"/>
          <w:spacing w:val="0"/>
          <w:w w:val="100"/>
          <w:kern w:val="0"/>
          <w:position w:val="0"/>
          <w:sz w:val="28"/>
          <w:szCs w:val="28"/>
          <w:lang w:val="en-US" w:eastAsia="zh-CN"/>
        </w:rPr>
        <w:t>m3</w:t>
      </w:r>
      <w:r>
        <w:rPr>
          <w:rFonts w:hint="default" w:ascii="Times New Roman" w:hAnsi="Times New Roman" w:eastAsia="宋体" w:cs="Times New Roman"/>
          <w:snapToGrid w:val="0"/>
          <w:color w:val="000000"/>
          <w:spacing w:val="0"/>
          <w:w w:val="100"/>
          <w:kern w:val="0"/>
          <w:position w:val="0"/>
          <w:sz w:val="28"/>
          <w:szCs w:val="28"/>
        </w:rPr>
        <w:t>/分钟移动式空压机。</w:t>
      </w:r>
    </w:p>
    <w:p>
      <w:pPr>
        <w:keepNext w:val="0"/>
        <w:keepLines w:val="0"/>
        <w:pageBreakBefore w:val="0"/>
        <w:widowControl/>
        <w:kinsoku/>
        <w:wordWrap/>
        <w:overflowPunct/>
        <w:topLinePunct/>
        <w:autoSpaceDE w:val="0"/>
        <w:autoSpaceDN w:val="0"/>
        <w:bidi w:val="0"/>
        <w:adjustRightInd w:val="0"/>
        <w:snapToGrid w:val="0"/>
        <w:spacing w:line="360" w:lineRule="auto"/>
        <w:ind w:left="123" w:right="145" w:firstLine="561"/>
        <w:jc w:val="both"/>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rPr>
        <w:t>施工用风价格=</w:t>
      </w:r>
      <w:r>
        <w:rPr>
          <w:rFonts w:hint="default" w:ascii="Times New Roman" w:hAnsi="Times New Roman" w:eastAsia="宋体" w:cs="Times New Roman"/>
          <w:snapToGrid w:val="0"/>
          <w:color w:val="000000"/>
          <w:spacing w:val="0"/>
          <w:w w:val="100"/>
          <w:kern w:val="0"/>
          <w:position w:val="0"/>
          <w:sz w:val="28"/>
          <w:szCs w:val="28"/>
          <w:lang w:val="en-US"/>
        </w:rPr>
        <w:t>【</w:t>
      </w:r>
      <w:r>
        <w:rPr>
          <w:rFonts w:hint="default" w:ascii="Times New Roman" w:hAnsi="Times New Roman" w:eastAsia="宋体" w:cs="Times New Roman"/>
          <w:snapToGrid w:val="0"/>
          <w:color w:val="000000"/>
          <w:spacing w:val="0"/>
          <w:w w:val="100"/>
          <w:kern w:val="0"/>
          <w:position w:val="0"/>
          <w:sz w:val="28"/>
          <w:szCs w:val="28"/>
          <w:lang w:eastAsia="zh-CN"/>
        </w:rPr>
        <w:t>（</w:t>
      </w:r>
      <w:r>
        <w:rPr>
          <w:rFonts w:hint="default" w:ascii="Times New Roman" w:hAnsi="Times New Roman" w:eastAsia="宋体" w:cs="Times New Roman"/>
          <w:snapToGrid w:val="0"/>
          <w:color w:val="000000"/>
          <w:spacing w:val="0"/>
          <w:w w:val="100"/>
          <w:kern w:val="0"/>
          <w:position w:val="0"/>
          <w:sz w:val="28"/>
          <w:szCs w:val="28"/>
        </w:rPr>
        <w:t>空气压缩机组（台）班总费用</w:t>
      </w:r>
      <w:r>
        <w:rPr>
          <w:rFonts w:hint="default" w:ascii="Times New Roman" w:hAnsi="Times New Roman" w:eastAsia="宋体" w:cs="Times New Roman"/>
          <w:snapToGrid w:val="0"/>
          <w:color w:val="000000"/>
          <w:spacing w:val="0"/>
          <w:w w:val="100"/>
          <w:kern w:val="0"/>
          <w:position w:val="0"/>
          <w:sz w:val="28"/>
          <w:szCs w:val="28"/>
          <w:lang w:eastAsia="zh-CN"/>
        </w:rPr>
        <w:t>）</w:t>
      </w:r>
      <w:r>
        <w:rPr>
          <w:rFonts w:hint="default" w:ascii="Times New Roman" w:hAnsi="Times New Roman" w:eastAsia="宋体" w:cs="Times New Roman"/>
          <w:snapToGrid w:val="0"/>
          <w:color w:val="000000"/>
          <w:spacing w:val="0"/>
          <w:w w:val="100"/>
          <w:kern w:val="0"/>
          <w:position w:val="0"/>
          <w:sz w:val="28"/>
          <w:szCs w:val="28"/>
        </w:rPr>
        <w:t>/（空气压缩机额定容量之和×60分钟×8小时×K1×K2）</w:t>
      </w:r>
      <w:r>
        <w:rPr>
          <w:rFonts w:hint="default" w:ascii="Times New Roman" w:hAnsi="Times New Roman" w:eastAsia="宋体" w:cs="Times New Roman"/>
          <w:snapToGrid w:val="0"/>
          <w:color w:val="000000"/>
          <w:spacing w:val="0"/>
          <w:w w:val="100"/>
          <w:kern w:val="0"/>
          <w:position w:val="0"/>
          <w:sz w:val="28"/>
          <w:szCs w:val="28"/>
          <w:lang w:val="en-US"/>
        </w:rPr>
        <w:t>】</w:t>
      </w:r>
      <w:r>
        <w:rPr>
          <w:rFonts w:hint="default" w:ascii="Times New Roman" w:hAnsi="Times New Roman" w:eastAsia="宋体" w:cs="Times New Roman"/>
          <w:snapToGrid w:val="0"/>
          <w:color w:val="000000"/>
          <w:spacing w:val="0"/>
          <w:w w:val="100"/>
          <w:kern w:val="0"/>
          <w:position w:val="0"/>
          <w:sz w:val="28"/>
          <w:szCs w:val="28"/>
        </w:rPr>
        <w:t>÷（1-供风损耗率）+单位循环冷却水费+供风设施维修摊销费：</w:t>
      </w:r>
    </w:p>
    <w:p>
      <w:pPr>
        <w:keepNext w:val="0"/>
        <w:keepLines w:val="0"/>
        <w:pageBreakBefore w:val="0"/>
        <w:widowControl/>
        <w:kinsoku/>
        <w:wordWrap/>
        <w:overflowPunct/>
        <w:topLinePunct/>
        <w:autoSpaceDE w:val="0"/>
        <w:autoSpaceDN w:val="0"/>
        <w:bidi w:val="0"/>
        <w:adjustRightInd w:val="0"/>
        <w:snapToGrid w:val="0"/>
        <w:spacing w:before="52" w:line="184" w:lineRule="auto"/>
        <w:ind w:firstLine="985"/>
        <w:jc w:val="both"/>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rPr>
        <w:t>式中，K1--时间利用系数，取0.70；</w:t>
      </w:r>
    </w:p>
    <w:p>
      <w:pPr>
        <w:keepNext w:val="0"/>
        <w:keepLines w:val="0"/>
        <w:pageBreakBefore w:val="0"/>
        <w:widowControl/>
        <w:kinsoku/>
        <w:wordWrap/>
        <w:overflowPunct/>
        <w:topLinePunct/>
        <w:autoSpaceDE w:val="0"/>
        <w:autoSpaceDN w:val="0"/>
        <w:bidi w:val="0"/>
        <w:adjustRightInd w:val="0"/>
        <w:snapToGrid w:val="0"/>
        <w:spacing w:before="268" w:line="184" w:lineRule="auto"/>
        <w:ind w:firstLine="1798"/>
        <w:jc w:val="both"/>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rPr>
        <w:t>K2-</w:t>
      </w:r>
      <w:r>
        <w:rPr>
          <w:rFonts w:hint="default" w:ascii="Times New Roman" w:hAnsi="Times New Roman" w:eastAsia="宋体" w:cs="Times New Roman"/>
          <w:snapToGrid w:val="0"/>
          <w:color w:val="000000"/>
          <w:spacing w:val="0"/>
          <w:w w:val="100"/>
          <w:kern w:val="0"/>
          <w:position w:val="0"/>
          <w:sz w:val="28"/>
          <w:szCs w:val="28"/>
          <w:lang w:eastAsia="zh-CN"/>
        </w:rPr>
        <w:t>－</w:t>
      </w:r>
      <w:r>
        <w:rPr>
          <w:rFonts w:hint="default" w:ascii="Times New Roman" w:hAnsi="Times New Roman" w:eastAsia="宋体" w:cs="Times New Roman"/>
          <w:snapToGrid w:val="0"/>
          <w:color w:val="000000"/>
          <w:spacing w:val="0"/>
          <w:w w:val="100"/>
          <w:kern w:val="0"/>
          <w:position w:val="0"/>
          <w:sz w:val="28"/>
          <w:szCs w:val="28"/>
        </w:rPr>
        <w:t>能量利用系数，取0.80；</w:t>
      </w:r>
    </w:p>
    <w:p>
      <w:pPr>
        <w:keepNext w:val="0"/>
        <w:keepLines w:val="0"/>
        <w:pageBreakBefore w:val="0"/>
        <w:widowControl/>
        <w:kinsoku/>
        <w:wordWrap/>
        <w:overflowPunct/>
        <w:topLinePunct/>
        <w:autoSpaceDE w:val="0"/>
        <w:autoSpaceDN w:val="0"/>
        <w:bidi w:val="0"/>
        <w:adjustRightInd w:val="0"/>
        <w:snapToGrid w:val="0"/>
        <w:spacing w:before="211" w:line="378" w:lineRule="exact"/>
        <w:ind w:firstLine="705"/>
        <w:jc w:val="both"/>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rPr>
        <w:t>1</w:t>
      </w:r>
      <w:r>
        <w:rPr>
          <w:rFonts w:hint="default" w:ascii="Times New Roman" w:hAnsi="Times New Roman" w:eastAsia="宋体" w:cs="Times New Roman"/>
          <w:snapToGrid w:val="0"/>
          <w:color w:val="000000"/>
          <w:spacing w:val="0"/>
          <w:w w:val="100"/>
          <w:kern w:val="0"/>
          <w:position w:val="0"/>
          <w:sz w:val="28"/>
          <w:szCs w:val="28"/>
          <w:lang w:eastAsia="zh-CN"/>
        </w:rPr>
        <w:t>）</w:t>
      </w:r>
      <w:r>
        <w:rPr>
          <w:rFonts w:hint="default" w:ascii="Times New Roman" w:hAnsi="Times New Roman" w:eastAsia="宋体" w:cs="Times New Roman"/>
          <w:snapToGrid w:val="0"/>
          <w:color w:val="000000"/>
          <w:spacing w:val="0"/>
          <w:w w:val="100"/>
          <w:kern w:val="0"/>
          <w:position w:val="0"/>
          <w:sz w:val="28"/>
          <w:szCs w:val="28"/>
        </w:rPr>
        <w:t>供风损耗系：9%；</w:t>
      </w:r>
    </w:p>
    <w:p>
      <w:pPr>
        <w:keepNext w:val="0"/>
        <w:keepLines w:val="0"/>
        <w:pageBreakBefore w:val="0"/>
        <w:widowControl/>
        <w:kinsoku/>
        <w:wordWrap/>
        <w:overflowPunct/>
        <w:topLinePunct/>
        <w:autoSpaceDE w:val="0"/>
        <w:autoSpaceDN w:val="0"/>
        <w:bidi w:val="0"/>
        <w:adjustRightInd w:val="0"/>
        <w:snapToGrid w:val="0"/>
        <w:spacing w:before="167" w:line="378" w:lineRule="exact"/>
        <w:ind w:firstLine="678"/>
        <w:jc w:val="both"/>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rPr>
        <w:t>2</w:t>
      </w:r>
      <w:r>
        <w:rPr>
          <w:rFonts w:hint="default" w:ascii="Times New Roman" w:hAnsi="Times New Roman" w:eastAsia="宋体" w:cs="Times New Roman"/>
          <w:snapToGrid w:val="0"/>
          <w:color w:val="000000"/>
          <w:spacing w:val="0"/>
          <w:w w:val="100"/>
          <w:kern w:val="0"/>
          <w:position w:val="0"/>
          <w:sz w:val="28"/>
          <w:szCs w:val="28"/>
          <w:lang w:eastAsia="zh-CN"/>
        </w:rPr>
        <w:t>）</w:t>
      </w:r>
      <w:r>
        <w:rPr>
          <w:rFonts w:hint="default" w:ascii="Times New Roman" w:hAnsi="Times New Roman" w:eastAsia="宋体" w:cs="Times New Roman"/>
          <w:snapToGrid w:val="0"/>
          <w:color w:val="000000"/>
          <w:spacing w:val="0"/>
          <w:w w:val="100"/>
          <w:kern w:val="0"/>
          <w:position w:val="0"/>
          <w:sz w:val="28"/>
          <w:szCs w:val="28"/>
        </w:rPr>
        <w:t>单位循环冷却水费：0.005元/</w:t>
      </w:r>
      <w:r>
        <w:rPr>
          <w:rFonts w:hint="default" w:ascii="Times New Roman" w:hAnsi="Times New Roman" w:eastAsia="宋体" w:cs="Times New Roman"/>
          <w:snapToGrid w:val="0"/>
          <w:color w:val="000000"/>
          <w:spacing w:val="0"/>
          <w:w w:val="100"/>
          <w:kern w:val="0"/>
          <w:position w:val="0"/>
          <w:sz w:val="28"/>
          <w:szCs w:val="28"/>
          <w:lang w:val="en-US" w:eastAsia="zh-CN"/>
        </w:rPr>
        <w:t>m</w:t>
      </w:r>
      <w:r>
        <w:rPr>
          <w:rFonts w:hint="default" w:ascii="Times New Roman" w:hAnsi="Times New Roman" w:eastAsia="宋体" w:cs="Times New Roman"/>
          <w:snapToGrid w:val="0"/>
          <w:color w:val="000000"/>
          <w:spacing w:val="0"/>
          <w:w w:val="100"/>
          <w:kern w:val="0"/>
          <w:position w:val="0"/>
          <w:sz w:val="28"/>
          <w:szCs w:val="28"/>
          <w:vertAlign w:val="superscript"/>
          <w:lang w:val="en-US" w:eastAsia="zh-CN"/>
        </w:rPr>
        <w:t>3</w:t>
      </w:r>
      <w:r>
        <w:rPr>
          <w:rFonts w:hint="default" w:ascii="Times New Roman" w:hAnsi="Times New Roman" w:eastAsia="宋体" w:cs="Times New Roman"/>
          <w:snapToGrid w:val="0"/>
          <w:color w:val="000000"/>
          <w:spacing w:val="0"/>
          <w:w w:val="100"/>
          <w:kern w:val="0"/>
          <w:position w:val="0"/>
          <w:sz w:val="28"/>
          <w:szCs w:val="28"/>
        </w:rPr>
        <w:t>；</w:t>
      </w:r>
    </w:p>
    <w:p>
      <w:pPr>
        <w:keepNext w:val="0"/>
        <w:keepLines w:val="0"/>
        <w:pageBreakBefore w:val="0"/>
        <w:widowControl/>
        <w:kinsoku/>
        <w:wordWrap/>
        <w:overflowPunct/>
        <w:topLinePunct/>
        <w:autoSpaceDE w:val="0"/>
        <w:autoSpaceDN w:val="0"/>
        <w:bidi w:val="0"/>
        <w:adjustRightInd w:val="0"/>
        <w:snapToGrid w:val="0"/>
        <w:spacing w:before="167" w:line="378" w:lineRule="exact"/>
        <w:ind w:firstLine="684"/>
        <w:jc w:val="both"/>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rPr>
        <w:t>3</w:t>
      </w:r>
      <w:r>
        <w:rPr>
          <w:rFonts w:hint="default" w:ascii="Times New Roman" w:hAnsi="Times New Roman" w:eastAsia="宋体" w:cs="Times New Roman"/>
          <w:snapToGrid w:val="0"/>
          <w:color w:val="000000"/>
          <w:spacing w:val="0"/>
          <w:w w:val="100"/>
          <w:kern w:val="0"/>
          <w:position w:val="0"/>
          <w:sz w:val="28"/>
          <w:szCs w:val="28"/>
          <w:lang w:eastAsia="zh-CN"/>
        </w:rPr>
        <w:t>）</w:t>
      </w:r>
      <w:r>
        <w:rPr>
          <w:rFonts w:hint="default" w:ascii="Times New Roman" w:hAnsi="Times New Roman" w:eastAsia="宋体" w:cs="Times New Roman"/>
          <w:snapToGrid w:val="0"/>
          <w:color w:val="000000"/>
          <w:spacing w:val="0"/>
          <w:w w:val="100"/>
          <w:kern w:val="0"/>
          <w:position w:val="0"/>
          <w:sz w:val="28"/>
          <w:szCs w:val="28"/>
        </w:rPr>
        <w:t>供风设施维修摊销费：0.002元/</w:t>
      </w:r>
      <w:r>
        <w:rPr>
          <w:rFonts w:hint="default" w:ascii="Times New Roman" w:hAnsi="Times New Roman" w:eastAsia="宋体" w:cs="Times New Roman"/>
          <w:snapToGrid w:val="0"/>
          <w:color w:val="000000"/>
          <w:spacing w:val="0"/>
          <w:w w:val="100"/>
          <w:kern w:val="0"/>
          <w:position w:val="0"/>
          <w:sz w:val="28"/>
          <w:szCs w:val="28"/>
          <w:lang w:val="en-US" w:eastAsia="zh-CN"/>
        </w:rPr>
        <w:t>m</w:t>
      </w:r>
      <w:r>
        <w:rPr>
          <w:rFonts w:hint="default" w:ascii="Times New Roman" w:hAnsi="Times New Roman" w:eastAsia="宋体" w:cs="Times New Roman"/>
          <w:snapToGrid w:val="0"/>
          <w:color w:val="000000"/>
          <w:spacing w:val="0"/>
          <w:w w:val="100"/>
          <w:kern w:val="0"/>
          <w:position w:val="0"/>
          <w:sz w:val="28"/>
          <w:szCs w:val="28"/>
          <w:vertAlign w:val="superscript"/>
          <w:lang w:val="en-US" w:eastAsia="zh-CN"/>
        </w:rPr>
        <w:t>3</w:t>
      </w:r>
      <w:r>
        <w:rPr>
          <w:rFonts w:hint="default" w:ascii="Times New Roman" w:hAnsi="Times New Roman" w:eastAsia="宋体" w:cs="Times New Roman"/>
          <w:snapToGrid w:val="0"/>
          <w:color w:val="000000"/>
          <w:spacing w:val="0"/>
          <w:w w:val="100"/>
          <w:kern w:val="0"/>
          <w:position w:val="0"/>
          <w:sz w:val="28"/>
          <w:szCs w:val="28"/>
        </w:rPr>
        <w:t>；</w:t>
      </w:r>
    </w:p>
    <w:p>
      <w:pPr>
        <w:keepNext w:val="0"/>
        <w:keepLines w:val="0"/>
        <w:pageBreakBefore w:val="0"/>
        <w:widowControl/>
        <w:kinsoku/>
        <w:wordWrap/>
        <w:overflowPunct/>
        <w:topLinePunct/>
        <w:autoSpaceDE w:val="0"/>
        <w:autoSpaceDN w:val="0"/>
        <w:bidi w:val="0"/>
        <w:adjustRightInd w:val="0"/>
        <w:snapToGrid w:val="0"/>
        <w:spacing w:before="167" w:line="378" w:lineRule="exact"/>
        <w:ind w:firstLine="677"/>
        <w:jc w:val="both"/>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rPr>
        <w:t>4</w:t>
      </w:r>
      <w:r>
        <w:rPr>
          <w:rFonts w:hint="default" w:ascii="Times New Roman" w:hAnsi="Times New Roman" w:eastAsia="宋体" w:cs="Times New Roman"/>
          <w:snapToGrid w:val="0"/>
          <w:color w:val="000000"/>
          <w:spacing w:val="0"/>
          <w:w w:val="100"/>
          <w:kern w:val="0"/>
          <w:position w:val="0"/>
          <w:sz w:val="28"/>
          <w:szCs w:val="28"/>
          <w:lang w:eastAsia="zh-CN"/>
        </w:rPr>
        <w:t>）</w:t>
      </w:r>
      <w:r>
        <w:rPr>
          <w:rFonts w:hint="default" w:ascii="Times New Roman" w:hAnsi="Times New Roman" w:eastAsia="宋体" w:cs="Times New Roman"/>
          <w:snapToGrid w:val="0"/>
          <w:color w:val="000000"/>
          <w:spacing w:val="0"/>
          <w:w w:val="100"/>
          <w:kern w:val="0"/>
          <w:position w:val="0"/>
          <w:sz w:val="28"/>
          <w:szCs w:val="28"/>
        </w:rPr>
        <w:t>空气压缩机组（台）班总费用：185.8元；</w:t>
      </w:r>
    </w:p>
    <w:p>
      <w:pPr>
        <w:keepNext w:val="0"/>
        <w:keepLines w:val="0"/>
        <w:pageBreakBefore w:val="0"/>
        <w:widowControl/>
        <w:kinsoku/>
        <w:wordWrap/>
        <w:overflowPunct/>
        <w:topLinePunct/>
        <w:autoSpaceDE w:val="0"/>
        <w:autoSpaceDN w:val="0"/>
        <w:bidi w:val="0"/>
        <w:adjustRightInd w:val="0"/>
        <w:snapToGrid w:val="0"/>
        <w:spacing w:before="167" w:line="359" w:lineRule="auto"/>
        <w:ind w:left="118" w:firstLine="571"/>
        <w:jc w:val="both"/>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rPr>
        <w:t>经计算：施工用风价格=【185.8÷（3×60×8×0.70×0.80）】÷（1-9%）+0.005+0.002=***元/</w:t>
      </w:r>
      <w:r>
        <w:rPr>
          <w:rFonts w:hint="default" w:ascii="Times New Roman" w:hAnsi="Times New Roman" w:eastAsia="宋体" w:cs="Times New Roman"/>
          <w:snapToGrid w:val="0"/>
          <w:color w:val="000000"/>
          <w:spacing w:val="0"/>
          <w:w w:val="100"/>
          <w:kern w:val="0"/>
          <w:position w:val="0"/>
          <w:sz w:val="28"/>
          <w:szCs w:val="28"/>
          <w:lang w:val="en-US" w:eastAsia="zh-CN"/>
        </w:rPr>
        <w:t>m</w:t>
      </w:r>
      <w:r>
        <w:rPr>
          <w:rFonts w:hint="default" w:ascii="Times New Roman" w:hAnsi="Times New Roman" w:eastAsia="宋体" w:cs="Times New Roman"/>
          <w:snapToGrid w:val="0"/>
          <w:color w:val="000000"/>
          <w:spacing w:val="0"/>
          <w:w w:val="100"/>
          <w:kern w:val="0"/>
          <w:position w:val="0"/>
          <w:sz w:val="28"/>
          <w:szCs w:val="28"/>
          <w:vertAlign w:val="superscript"/>
          <w:lang w:val="en-US" w:eastAsia="zh-CN"/>
        </w:rPr>
        <w:t>3</w:t>
      </w:r>
      <w:r>
        <w:rPr>
          <w:rFonts w:hint="default" w:ascii="Times New Roman" w:hAnsi="Times New Roman" w:eastAsia="宋体" w:cs="Times New Roman"/>
          <w:snapToGrid w:val="0"/>
          <w:color w:val="000000"/>
          <w:spacing w:val="0"/>
          <w:w w:val="100"/>
          <w:kern w:val="0"/>
          <w:position w:val="0"/>
          <w:sz w:val="28"/>
          <w:szCs w:val="28"/>
        </w:rPr>
        <w:t>。</w:t>
      </w:r>
    </w:p>
    <w:p>
      <w:pPr>
        <w:keepNext w:val="0"/>
        <w:keepLines w:val="0"/>
        <w:pageBreakBefore w:val="0"/>
        <w:widowControl/>
        <w:kinsoku/>
        <w:wordWrap/>
        <w:overflowPunct/>
        <w:topLinePunct/>
        <w:autoSpaceDE w:val="0"/>
        <w:autoSpaceDN w:val="0"/>
        <w:bidi w:val="0"/>
        <w:adjustRightInd w:val="0"/>
        <w:snapToGrid w:val="0"/>
        <w:spacing w:line="360" w:lineRule="auto"/>
        <w:ind w:left="14" w:right="5" w:firstLine="561"/>
        <w:jc w:val="both"/>
        <w:textAlignment w:val="baseline"/>
        <w:rPr>
          <w:rFonts w:hint="default" w:ascii="Times New Roman" w:hAnsi="Times New Roman" w:eastAsia="宋体" w:cs="Times New Roman"/>
          <w:snapToGrid w:val="0"/>
          <w:color w:val="000000"/>
          <w:spacing w:val="0"/>
          <w:w w:val="100"/>
          <w:kern w:val="0"/>
          <w:position w:val="0"/>
          <w:sz w:val="28"/>
          <w:szCs w:val="28"/>
          <w:lang w:eastAsia="zh-CN"/>
        </w:rPr>
      </w:pPr>
      <w:r>
        <w:rPr>
          <w:rFonts w:hint="default" w:ascii="Times New Roman" w:hAnsi="Times New Roman" w:eastAsia="宋体" w:cs="Times New Roman"/>
          <w:snapToGrid w:val="0"/>
          <w:color w:val="000000"/>
          <w:spacing w:val="0"/>
          <w:w w:val="100"/>
          <w:kern w:val="0"/>
          <w:position w:val="0"/>
          <w:sz w:val="28"/>
          <w:szCs w:val="28"/>
        </w:rPr>
        <w:t>施工用水价格：直接采用</w:t>
      </w:r>
      <w:r>
        <w:rPr>
          <w:rFonts w:hint="default" w:ascii="Times New Roman" w:hAnsi="Times New Roman" w:eastAsia="宋体" w:cs="Times New Roman"/>
          <w:snapToGrid w:val="0"/>
          <w:color w:val="000000"/>
          <w:spacing w:val="0"/>
          <w:w w:val="100"/>
          <w:kern w:val="0"/>
          <w:position w:val="0"/>
          <w:sz w:val="28"/>
          <w:szCs w:val="28"/>
          <w:lang w:eastAsia="zh-CN"/>
        </w:rPr>
        <w:t>岳建</w:t>
      </w:r>
      <w:r>
        <w:rPr>
          <w:rFonts w:hint="default" w:ascii="Times New Roman" w:hAnsi="Times New Roman" w:eastAsia="宋体" w:cs="Times New Roman"/>
          <w:snapToGrid w:val="0"/>
          <w:color w:val="000000"/>
          <w:spacing w:val="0"/>
          <w:w w:val="100"/>
          <w:kern w:val="0"/>
          <w:position w:val="0"/>
          <w:sz w:val="28"/>
          <w:szCs w:val="28"/>
          <w:lang w:val="en-US" w:eastAsia="zh-CN"/>
        </w:rPr>
        <w:t>事</w:t>
      </w:r>
      <w:r>
        <w:rPr>
          <w:rFonts w:hint="default" w:ascii="Times New Roman" w:hAnsi="Times New Roman" w:eastAsia="宋体" w:cs="Times New Roman"/>
          <w:snapToGrid w:val="0"/>
          <w:color w:val="000000"/>
          <w:spacing w:val="0"/>
          <w:w w:val="100"/>
          <w:kern w:val="0"/>
          <w:position w:val="0"/>
          <w:sz w:val="28"/>
          <w:szCs w:val="28"/>
          <w:lang w:eastAsia="zh-CN"/>
        </w:rPr>
        <w:t>价函〔20</w:t>
      </w:r>
      <w:r>
        <w:rPr>
          <w:rFonts w:hint="default" w:ascii="Times New Roman" w:hAnsi="Times New Roman" w:eastAsia="宋体" w:cs="Times New Roman"/>
          <w:snapToGrid w:val="0"/>
          <w:color w:val="000000"/>
          <w:spacing w:val="0"/>
          <w:w w:val="100"/>
          <w:kern w:val="0"/>
          <w:position w:val="0"/>
          <w:sz w:val="28"/>
          <w:szCs w:val="28"/>
          <w:lang w:val="en-US" w:eastAsia="zh-CN"/>
        </w:rPr>
        <w:t>24</w:t>
      </w:r>
      <w:r>
        <w:rPr>
          <w:rFonts w:hint="default" w:ascii="Times New Roman" w:hAnsi="Times New Roman" w:eastAsia="宋体" w:cs="Times New Roman"/>
          <w:snapToGrid w:val="0"/>
          <w:color w:val="000000"/>
          <w:spacing w:val="0"/>
          <w:w w:val="100"/>
          <w:kern w:val="0"/>
          <w:position w:val="0"/>
          <w:sz w:val="28"/>
          <w:szCs w:val="28"/>
          <w:lang w:eastAsia="zh-CN"/>
        </w:rPr>
        <w:t>〕</w:t>
      </w:r>
      <w:r>
        <w:rPr>
          <w:rFonts w:hint="default" w:ascii="Times New Roman" w:hAnsi="Times New Roman" w:eastAsia="宋体" w:cs="Times New Roman"/>
          <w:snapToGrid w:val="0"/>
          <w:color w:val="000000"/>
          <w:spacing w:val="0"/>
          <w:w w:val="100"/>
          <w:kern w:val="0"/>
          <w:position w:val="0"/>
          <w:sz w:val="28"/>
          <w:szCs w:val="28"/>
          <w:lang w:val="en-US" w:eastAsia="zh-CN"/>
        </w:rPr>
        <w:t>3</w:t>
      </w:r>
      <w:r>
        <w:rPr>
          <w:rFonts w:hint="default" w:ascii="Times New Roman" w:hAnsi="Times New Roman" w:eastAsia="宋体" w:cs="Times New Roman"/>
          <w:snapToGrid w:val="0"/>
          <w:color w:val="000000"/>
          <w:spacing w:val="0"/>
          <w:w w:val="100"/>
          <w:kern w:val="0"/>
          <w:position w:val="0"/>
          <w:sz w:val="28"/>
          <w:szCs w:val="28"/>
          <w:lang w:eastAsia="zh-CN"/>
        </w:rPr>
        <w:t>号</w:t>
      </w:r>
      <w:r>
        <w:rPr>
          <w:rFonts w:hint="default" w:ascii="Times New Roman" w:hAnsi="Times New Roman" w:eastAsia="宋体" w:cs="Times New Roman"/>
          <w:snapToGrid w:val="0"/>
          <w:color w:val="000000"/>
          <w:spacing w:val="0"/>
          <w:w w:val="100"/>
          <w:kern w:val="0"/>
          <w:position w:val="0"/>
          <w:sz w:val="28"/>
          <w:szCs w:val="28"/>
        </w:rPr>
        <w:t>的</w:t>
      </w:r>
      <w:r>
        <w:rPr>
          <w:rFonts w:hint="default" w:ascii="Times New Roman" w:hAnsi="Times New Roman" w:eastAsia="宋体" w:cs="Times New Roman"/>
          <w:snapToGrid w:val="0"/>
          <w:color w:val="000000"/>
          <w:spacing w:val="0"/>
          <w:w w:val="100"/>
          <w:kern w:val="0"/>
          <w:position w:val="0"/>
          <w:sz w:val="28"/>
          <w:szCs w:val="28"/>
          <w:lang w:val="en-US" w:eastAsia="zh-CN"/>
        </w:rPr>
        <w:t>水</w:t>
      </w:r>
      <w:r>
        <w:rPr>
          <w:rFonts w:hint="default" w:ascii="Times New Roman" w:hAnsi="Times New Roman" w:eastAsia="宋体" w:cs="Times New Roman"/>
          <w:snapToGrid w:val="0"/>
          <w:color w:val="000000"/>
          <w:spacing w:val="0"/>
          <w:w w:val="100"/>
          <w:kern w:val="0"/>
          <w:position w:val="0"/>
          <w:sz w:val="28"/>
          <w:szCs w:val="28"/>
        </w:rPr>
        <w:t>价（</w:t>
      </w:r>
      <w:r>
        <w:rPr>
          <w:rFonts w:hint="default" w:ascii="Times New Roman" w:hAnsi="Times New Roman" w:eastAsia="宋体" w:cs="Times New Roman"/>
          <w:snapToGrid w:val="0"/>
          <w:color w:val="000000"/>
          <w:spacing w:val="0"/>
          <w:w w:val="100"/>
          <w:kern w:val="0"/>
          <w:position w:val="0"/>
          <w:sz w:val="28"/>
          <w:szCs w:val="28"/>
          <w:lang w:val="en-US" w:eastAsia="zh-CN"/>
        </w:rPr>
        <w:t>***</w:t>
      </w:r>
      <w:r>
        <w:rPr>
          <w:rFonts w:hint="default" w:ascii="Times New Roman" w:hAnsi="Times New Roman" w:eastAsia="宋体" w:cs="Times New Roman"/>
          <w:snapToGrid w:val="0"/>
          <w:color w:val="000000"/>
          <w:spacing w:val="0"/>
          <w:w w:val="100"/>
          <w:kern w:val="0"/>
          <w:position w:val="0"/>
          <w:sz w:val="28"/>
          <w:szCs w:val="28"/>
        </w:rPr>
        <w:t>元/</w:t>
      </w:r>
      <w:r>
        <w:rPr>
          <w:rFonts w:hint="default" w:ascii="Times New Roman" w:hAnsi="Times New Roman" w:eastAsia="宋体" w:cs="Times New Roman"/>
          <w:snapToGrid w:val="0"/>
          <w:color w:val="000000"/>
          <w:spacing w:val="0"/>
          <w:w w:val="100"/>
          <w:kern w:val="0"/>
          <w:position w:val="0"/>
          <w:sz w:val="28"/>
          <w:szCs w:val="28"/>
          <w:lang w:val="en-US" w:eastAsia="zh-CN"/>
        </w:rPr>
        <w:t>m³</w:t>
      </w:r>
      <w:r>
        <w:rPr>
          <w:rFonts w:hint="default" w:ascii="Times New Roman" w:hAnsi="Times New Roman" w:eastAsia="宋体" w:cs="Times New Roman"/>
          <w:snapToGrid w:val="0"/>
          <w:color w:val="000000"/>
          <w:spacing w:val="0"/>
          <w:w w:val="100"/>
          <w:kern w:val="0"/>
          <w:position w:val="0"/>
          <w:sz w:val="28"/>
          <w:szCs w:val="28"/>
          <w:lang w:eastAsia="zh-CN"/>
        </w:rPr>
        <w:t>）。</w:t>
      </w:r>
    </w:p>
    <w:p>
      <w:pPr>
        <w:keepNext w:val="0"/>
        <w:keepLines w:val="0"/>
        <w:pageBreakBefore w:val="0"/>
        <w:widowControl/>
        <w:kinsoku/>
        <w:wordWrap/>
        <w:overflowPunct/>
        <w:topLinePunct/>
        <w:autoSpaceDE w:val="0"/>
        <w:autoSpaceDN w:val="0"/>
        <w:bidi w:val="0"/>
        <w:adjustRightInd w:val="0"/>
        <w:snapToGrid w:val="0"/>
        <w:spacing w:line="360" w:lineRule="auto"/>
        <w:ind w:left="14" w:right="5" w:firstLine="561"/>
        <w:jc w:val="both"/>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rPr>
        <w:t>措施费：指为完成工程施工，发生于该工程施工前或施工过程中非工程实体的费用。包括：临时设施费、冬雨季施工增加费、夜间施工增加费（不考虑）、施工辅助费、安全施工措施费。结合生产建设项目土地复垦工程施工特点，措施费一般为直接工程费的4%</w:t>
      </w:r>
      <w:r>
        <w:rPr>
          <w:rFonts w:hint="default" w:ascii="Times New Roman" w:hAnsi="Times New Roman" w:eastAsia="宋体" w:cs="Times New Roman"/>
          <w:snapToGrid w:val="0"/>
          <w:color w:val="000000"/>
          <w:spacing w:val="0"/>
          <w:w w:val="100"/>
          <w:kern w:val="0"/>
          <w:position w:val="0"/>
          <w:sz w:val="28"/>
          <w:szCs w:val="28"/>
          <w:lang w:eastAsia="zh-CN"/>
        </w:rPr>
        <w:t>～</w:t>
      </w:r>
      <w:r>
        <w:rPr>
          <w:rFonts w:hint="default" w:ascii="Times New Roman" w:hAnsi="Times New Roman" w:eastAsia="宋体" w:cs="Times New Roman"/>
          <w:snapToGrid w:val="0"/>
          <w:color w:val="000000"/>
          <w:spacing w:val="0"/>
          <w:w w:val="100"/>
          <w:kern w:val="0"/>
          <w:position w:val="0"/>
          <w:sz w:val="28"/>
          <w:szCs w:val="28"/>
        </w:rPr>
        <w:t>5%。</w:t>
      </w:r>
    </w:p>
    <w:p>
      <w:pPr>
        <w:keepNext w:val="0"/>
        <w:keepLines w:val="0"/>
        <w:pageBreakBefore w:val="0"/>
        <w:widowControl/>
        <w:kinsoku/>
        <w:wordWrap/>
        <w:overflowPunct/>
        <w:topLinePunct/>
        <w:autoSpaceDE w:val="0"/>
        <w:autoSpaceDN w:val="0"/>
        <w:bidi w:val="0"/>
        <w:adjustRightInd w:val="0"/>
        <w:snapToGrid w:val="0"/>
        <w:spacing w:line="360" w:lineRule="auto"/>
        <w:ind w:left="14" w:right="5" w:firstLine="561"/>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default" w:ascii="Times New Roman" w:hAnsi="Times New Roman" w:eastAsia="宋体" w:cs="Times New Roman"/>
          <w:snapToGrid w:val="0"/>
          <w:color w:val="000000"/>
          <w:spacing w:val="0"/>
          <w:w w:val="100"/>
          <w:kern w:val="0"/>
          <w:position w:val="0"/>
          <w:sz w:val="28"/>
          <w:szCs w:val="28"/>
          <w:lang w:val="en-US" w:eastAsia="zh-CN"/>
        </w:rPr>
        <w:t>措施费=直接工程费×措施费费率。</w:t>
      </w:r>
    </w:p>
    <w:p>
      <w:pPr>
        <w:keepNext w:val="0"/>
        <w:keepLines w:val="0"/>
        <w:pageBreakBefore w:val="0"/>
        <w:widowControl/>
        <w:kinsoku/>
        <w:wordWrap/>
        <w:overflowPunct/>
        <w:topLinePunct/>
        <w:autoSpaceDE w:val="0"/>
        <w:autoSpaceDN w:val="0"/>
        <w:bidi w:val="0"/>
        <w:adjustRightInd w:val="0"/>
        <w:snapToGrid w:val="0"/>
        <w:spacing w:line="360" w:lineRule="auto"/>
        <w:ind w:left="14" w:right="5" w:firstLine="561"/>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default" w:ascii="Times New Roman" w:hAnsi="Times New Roman" w:eastAsia="宋体" w:cs="Times New Roman"/>
          <w:snapToGrid w:val="0"/>
          <w:color w:val="000000"/>
          <w:spacing w:val="0"/>
          <w:w w:val="100"/>
          <w:kern w:val="0"/>
          <w:position w:val="0"/>
          <w:sz w:val="28"/>
          <w:szCs w:val="28"/>
          <w:lang w:val="en-US" w:eastAsia="zh-CN"/>
        </w:rPr>
        <w:t>1）临时设施费</w:t>
      </w:r>
    </w:p>
    <w:p>
      <w:pPr>
        <w:keepNext w:val="0"/>
        <w:keepLines w:val="0"/>
        <w:pageBreakBefore w:val="0"/>
        <w:widowControl/>
        <w:kinsoku/>
        <w:wordWrap/>
        <w:overflowPunct/>
        <w:topLinePunct/>
        <w:autoSpaceDE w:val="0"/>
        <w:autoSpaceDN w:val="0"/>
        <w:bidi w:val="0"/>
        <w:adjustRightInd w:val="0"/>
        <w:snapToGrid w:val="0"/>
        <w:spacing w:line="360" w:lineRule="auto"/>
        <w:ind w:left="14" w:right="5" w:firstLine="561"/>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default" w:ascii="Times New Roman" w:hAnsi="Times New Roman" w:eastAsia="宋体" w:cs="Times New Roman"/>
          <w:snapToGrid w:val="0"/>
          <w:color w:val="000000"/>
          <w:spacing w:val="0"/>
          <w:w w:val="100"/>
          <w:kern w:val="0"/>
          <w:position w:val="0"/>
          <w:sz w:val="28"/>
          <w:szCs w:val="28"/>
          <w:lang w:val="en-US" w:eastAsia="zh-CN"/>
        </w:rPr>
        <w:t>不同工程类别的临时设施费见下表。</w:t>
      </w:r>
    </w:p>
    <w:p>
      <w:pPr>
        <w:spacing w:line="0" w:lineRule="atLeast"/>
        <w:ind w:firstLine="482" w:firstLineChars="200"/>
        <w:jc w:val="center"/>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表5-2临时设施费费率表</w:t>
      </w:r>
    </w:p>
    <w:tbl>
      <w:tblPr>
        <w:tblStyle w:val="23"/>
        <w:tblW w:w="4998" w:type="pct"/>
        <w:tblInd w:w="0" w:type="dxa"/>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Layout w:type="autofit"/>
        <w:tblCellMar>
          <w:top w:w="0" w:type="dxa"/>
          <w:left w:w="0" w:type="dxa"/>
          <w:bottom w:w="0" w:type="dxa"/>
          <w:right w:w="0" w:type="dxa"/>
        </w:tblCellMar>
      </w:tblPr>
      <w:tblGrid>
        <w:gridCol w:w="1335"/>
        <w:gridCol w:w="2816"/>
        <w:gridCol w:w="1723"/>
        <w:gridCol w:w="2429"/>
      </w:tblGrid>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804"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84" w:line="184" w:lineRule="auto"/>
              <w:ind w:firstLine="480"/>
              <w:jc w:val="left"/>
              <w:textAlignment w:val="baseline"/>
              <w:rPr>
                <w:rFonts w:hint="default" w:ascii="Times New Roman" w:hAnsi="Times New Roman" w:eastAsia="宋体" w:cs="Times New Roman"/>
                <w:b/>
                <w:bCs/>
                <w:snapToGrid w:val="0"/>
                <w:color w:val="000000"/>
                <w:spacing w:val="0"/>
                <w:w w:val="100"/>
                <w:kern w:val="0"/>
                <w:position w:val="0"/>
                <w:sz w:val="21"/>
                <w:szCs w:val="21"/>
              </w:rPr>
            </w:pPr>
            <w:r>
              <w:rPr>
                <w:rFonts w:hint="default" w:ascii="Times New Roman" w:hAnsi="Times New Roman" w:eastAsia="宋体" w:cs="Times New Roman"/>
                <w:b/>
                <w:bCs/>
                <w:snapToGrid w:val="0"/>
                <w:color w:val="000000"/>
                <w:spacing w:val="0"/>
                <w:w w:val="100"/>
                <w:kern w:val="0"/>
                <w:position w:val="0"/>
                <w:sz w:val="21"/>
                <w:szCs w:val="21"/>
              </w:rPr>
              <w:t>序号</w:t>
            </w:r>
          </w:p>
        </w:tc>
        <w:tc>
          <w:tcPr>
            <w:tcW w:w="1695"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84" w:line="184" w:lineRule="auto"/>
              <w:ind w:firstLine="1031"/>
              <w:jc w:val="left"/>
              <w:textAlignment w:val="baseline"/>
              <w:rPr>
                <w:rFonts w:hint="default" w:ascii="Times New Roman" w:hAnsi="Times New Roman" w:eastAsia="宋体" w:cs="Times New Roman"/>
                <w:b/>
                <w:bCs/>
                <w:snapToGrid w:val="0"/>
                <w:color w:val="000000"/>
                <w:spacing w:val="0"/>
                <w:w w:val="100"/>
                <w:kern w:val="0"/>
                <w:position w:val="0"/>
                <w:sz w:val="21"/>
                <w:szCs w:val="21"/>
              </w:rPr>
            </w:pPr>
            <w:r>
              <w:rPr>
                <w:rFonts w:hint="default" w:ascii="Times New Roman" w:hAnsi="Times New Roman" w:eastAsia="宋体" w:cs="Times New Roman"/>
                <w:b/>
                <w:bCs/>
                <w:snapToGrid w:val="0"/>
                <w:color w:val="000000"/>
                <w:spacing w:val="0"/>
                <w:w w:val="100"/>
                <w:kern w:val="0"/>
                <w:position w:val="0"/>
                <w:sz w:val="21"/>
                <w:szCs w:val="21"/>
              </w:rPr>
              <w:t>工程类别</w:t>
            </w:r>
          </w:p>
        </w:tc>
        <w:tc>
          <w:tcPr>
            <w:tcW w:w="1037"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84" w:line="184" w:lineRule="auto"/>
              <w:ind w:firstLine="469"/>
              <w:jc w:val="left"/>
              <w:textAlignment w:val="baseline"/>
              <w:rPr>
                <w:rFonts w:hint="default" w:ascii="Times New Roman" w:hAnsi="Times New Roman" w:eastAsia="宋体" w:cs="Times New Roman"/>
                <w:b/>
                <w:bCs/>
                <w:snapToGrid w:val="0"/>
                <w:color w:val="000000"/>
                <w:spacing w:val="0"/>
                <w:w w:val="100"/>
                <w:kern w:val="0"/>
                <w:position w:val="0"/>
                <w:sz w:val="21"/>
                <w:szCs w:val="21"/>
              </w:rPr>
            </w:pPr>
            <w:r>
              <w:rPr>
                <w:rFonts w:hint="default" w:ascii="Times New Roman" w:hAnsi="Times New Roman" w:eastAsia="宋体" w:cs="Times New Roman"/>
                <w:b/>
                <w:bCs/>
                <w:snapToGrid w:val="0"/>
                <w:color w:val="000000"/>
                <w:spacing w:val="0"/>
                <w:w w:val="100"/>
                <w:kern w:val="0"/>
                <w:position w:val="0"/>
                <w:sz w:val="21"/>
                <w:szCs w:val="21"/>
              </w:rPr>
              <w:t>计算基础</w:t>
            </w:r>
          </w:p>
        </w:tc>
        <w:tc>
          <w:tcPr>
            <w:tcW w:w="1462"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47" w:line="281" w:lineRule="exact"/>
              <w:ind w:firstLine="230"/>
              <w:jc w:val="left"/>
              <w:textAlignment w:val="baseline"/>
              <w:rPr>
                <w:rFonts w:hint="default" w:ascii="Times New Roman" w:hAnsi="Times New Roman" w:eastAsia="宋体" w:cs="Times New Roman"/>
                <w:b/>
                <w:bCs/>
                <w:snapToGrid w:val="0"/>
                <w:color w:val="000000"/>
                <w:spacing w:val="0"/>
                <w:w w:val="100"/>
                <w:kern w:val="0"/>
                <w:position w:val="0"/>
                <w:sz w:val="21"/>
                <w:szCs w:val="21"/>
              </w:rPr>
            </w:pPr>
            <w:r>
              <w:rPr>
                <w:rFonts w:hint="default" w:ascii="Times New Roman" w:hAnsi="Times New Roman" w:eastAsia="宋体" w:cs="Times New Roman"/>
                <w:b/>
                <w:bCs/>
                <w:snapToGrid w:val="0"/>
                <w:color w:val="000000"/>
                <w:spacing w:val="0"/>
                <w:w w:val="100"/>
                <w:kern w:val="0"/>
                <w:position w:val="0"/>
                <w:sz w:val="21"/>
                <w:szCs w:val="21"/>
              </w:rPr>
              <w:t>临时设施费费率（%）</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804"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117" w:line="180" w:lineRule="auto"/>
              <w:ind w:firstLine="656"/>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1</w:t>
            </w:r>
          </w:p>
        </w:tc>
        <w:tc>
          <w:tcPr>
            <w:tcW w:w="1695"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80" w:line="184" w:lineRule="auto"/>
              <w:ind w:firstLine="1030"/>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土方工程</w:t>
            </w:r>
          </w:p>
        </w:tc>
        <w:tc>
          <w:tcPr>
            <w:tcW w:w="1037"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80" w:line="184" w:lineRule="auto"/>
              <w:ind w:firstLine="368"/>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直接工程费</w:t>
            </w:r>
          </w:p>
        </w:tc>
        <w:tc>
          <w:tcPr>
            <w:tcW w:w="1462"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117" w:line="180" w:lineRule="auto"/>
              <w:ind w:firstLine="1196"/>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2</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804"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118" w:line="180" w:lineRule="auto"/>
              <w:ind w:firstLine="635"/>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2</w:t>
            </w:r>
          </w:p>
        </w:tc>
        <w:tc>
          <w:tcPr>
            <w:tcW w:w="1695"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81" w:line="184" w:lineRule="auto"/>
              <w:ind w:firstLine="1030"/>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石方工程</w:t>
            </w:r>
          </w:p>
        </w:tc>
        <w:tc>
          <w:tcPr>
            <w:tcW w:w="1037"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81" w:line="184" w:lineRule="auto"/>
              <w:ind w:firstLine="368"/>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直接工程费</w:t>
            </w:r>
          </w:p>
        </w:tc>
        <w:tc>
          <w:tcPr>
            <w:tcW w:w="1462"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118" w:line="180" w:lineRule="auto"/>
              <w:ind w:firstLine="1196"/>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2</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804"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118" w:line="180" w:lineRule="auto"/>
              <w:ind w:firstLine="640"/>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3</w:t>
            </w:r>
          </w:p>
        </w:tc>
        <w:tc>
          <w:tcPr>
            <w:tcW w:w="1695"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81" w:line="184" w:lineRule="auto"/>
              <w:ind w:firstLine="1029"/>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砌体工程</w:t>
            </w:r>
          </w:p>
        </w:tc>
        <w:tc>
          <w:tcPr>
            <w:tcW w:w="1037"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81" w:line="184" w:lineRule="auto"/>
              <w:ind w:firstLine="368"/>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直接工程费</w:t>
            </w:r>
          </w:p>
        </w:tc>
        <w:tc>
          <w:tcPr>
            <w:tcW w:w="1462"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119" w:line="180" w:lineRule="auto"/>
              <w:ind w:firstLine="1196"/>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2</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804"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117" w:line="180" w:lineRule="auto"/>
              <w:ind w:firstLine="634"/>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4</w:t>
            </w:r>
          </w:p>
        </w:tc>
        <w:tc>
          <w:tcPr>
            <w:tcW w:w="1695"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80" w:line="184" w:lineRule="auto"/>
              <w:ind w:firstLine="926"/>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混凝土工程</w:t>
            </w:r>
          </w:p>
        </w:tc>
        <w:tc>
          <w:tcPr>
            <w:tcW w:w="1037"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80" w:line="184" w:lineRule="auto"/>
              <w:ind w:firstLine="368"/>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直接工程费</w:t>
            </w:r>
          </w:p>
        </w:tc>
        <w:tc>
          <w:tcPr>
            <w:tcW w:w="1462"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117" w:line="180" w:lineRule="auto"/>
              <w:ind w:firstLine="1200"/>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3</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804"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121" w:line="180" w:lineRule="auto"/>
              <w:ind w:firstLine="641"/>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5</w:t>
            </w:r>
          </w:p>
        </w:tc>
        <w:tc>
          <w:tcPr>
            <w:tcW w:w="1695"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81" w:line="184" w:lineRule="auto"/>
              <w:ind w:firstLine="714"/>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农用井钻孔工程</w:t>
            </w:r>
          </w:p>
        </w:tc>
        <w:tc>
          <w:tcPr>
            <w:tcW w:w="1037"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81" w:line="184" w:lineRule="auto"/>
              <w:ind w:firstLine="368"/>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直接工程费</w:t>
            </w:r>
          </w:p>
        </w:tc>
        <w:tc>
          <w:tcPr>
            <w:tcW w:w="1462"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118" w:line="180" w:lineRule="auto"/>
              <w:ind w:firstLine="1200"/>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3</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804"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119" w:line="180" w:lineRule="auto"/>
              <w:ind w:firstLine="640"/>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6</w:t>
            </w:r>
          </w:p>
        </w:tc>
        <w:tc>
          <w:tcPr>
            <w:tcW w:w="1695"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83" w:line="184" w:lineRule="auto"/>
              <w:ind w:firstLine="1030"/>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其他工程</w:t>
            </w:r>
          </w:p>
        </w:tc>
        <w:tc>
          <w:tcPr>
            <w:tcW w:w="1037"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83" w:line="184" w:lineRule="auto"/>
              <w:ind w:firstLine="368"/>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直接工程费</w:t>
            </w:r>
          </w:p>
        </w:tc>
        <w:tc>
          <w:tcPr>
            <w:tcW w:w="1462"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120" w:line="180" w:lineRule="auto"/>
              <w:ind w:firstLine="1196"/>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2</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804"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123" w:line="180" w:lineRule="auto"/>
              <w:ind w:firstLine="639"/>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7</w:t>
            </w:r>
          </w:p>
        </w:tc>
        <w:tc>
          <w:tcPr>
            <w:tcW w:w="1695"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83" w:line="184" w:lineRule="auto"/>
              <w:ind w:firstLine="1033"/>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安装工程</w:t>
            </w:r>
          </w:p>
        </w:tc>
        <w:tc>
          <w:tcPr>
            <w:tcW w:w="1037"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83" w:line="184" w:lineRule="auto"/>
              <w:ind w:firstLine="368"/>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直接工程费</w:t>
            </w:r>
          </w:p>
        </w:tc>
        <w:tc>
          <w:tcPr>
            <w:tcW w:w="1462" w:type="pct"/>
            <w:tcBorders>
              <w:tl2br w:val="nil"/>
              <w:tr2bl w:val="nil"/>
            </w:tcBorders>
            <w:vAlign w:val="top"/>
          </w:tcPr>
          <w:p>
            <w:pPr>
              <w:keepNext w:val="0"/>
              <w:keepLines w:val="0"/>
              <w:pageBreakBefore w:val="0"/>
              <w:widowControl/>
              <w:kinsoku/>
              <w:wordWrap/>
              <w:overflowPunct/>
              <w:topLinePunct/>
              <w:autoSpaceDE w:val="0"/>
              <w:autoSpaceDN w:val="0"/>
              <w:bidi w:val="0"/>
              <w:adjustRightInd w:val="0"/>
              <w:snapToGrid w:val="0"/>
              <w:spacing w:before="119" w:line="180" w:lineRule="auto"/>
              <w:ind w:firstLine="1200"/>
              <w:jc w:val="left"/>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3</w:t>
            </w:r>
          </w:p>
        </w:tc>
      </w:tr>
    </w:tbl>
    <w:p>
      <w:pPr>
        <w:keepNext w:val="0"/>
        <w:keepLines w:val="0"/>
        <w:pageBreakBefore w:val="0"/>
        <w:widowControl/>
        <w:kinsoku/>
        <w:wordWrap/>
        <w:overflowPunct/>
        <w:topLinePunct/>
        <w:autoSpaceDE w:val="0"/>
        <w:autoSpaceDN w:val="0"/>
        <w:bidi w:val="0"/>
        <w:adjustRightInd w:val="0"/>
        <w:snapToGrid w:val="0"/>
        <w:spacing w:before="31" w:line="359" w:lineRule="auto"/>
        <w:ind w:left="15" w:right="4" w:hanging="2"/>
        <w:jc w:val="both"/>
        <w:textAlignment w:val="baseline"/>
        <w:rPr>
          <w:rFonts w:hint="default" w:ascii="Times New Roman" w:hAnsi="Times New Roman" w:eastAsia="宋体" w:cs="Times New Roman"/>
          <w:snapToGrid w:val="0"/>
          <w:color w:val="000000"/>
          <w:spacing w:val="0"/>
          <w:w w:val="100"/>
          <w:kern w:val="0"/>
          <w:position w:val="0"/>
          <w:sz w:val="21"/>
          <w:szCs w:val="21"/>
          <w:highlight w:val="yellow"/>
        </w:rPr>
      </w:pPr>
      <w:r>
        <w:rPr>
          <w:rFonts w:hint="default" w:ascii="Times New Roman" w:hAnsi="Times New Roman" w:eastAsia="宋体" w:cs="Times New Roman"/>
          <w:snapToGrid w:val="0"/>
          <w:color w:val="000000"/>
          <w:spacing w:val="0"/>
          <w:w w:val="100"/>
          <w:kern w:val="0"/>
          <w:position w:val="0"/>
          <w:sz w:val="21"/>
          <w:szCs w:val="21"/>
          <w14:textOutline w14:w="3795" w14:cap="sq" w14:cmpd="sng">
            <w14:solidFill>
              <w14:srgbClr w14:val="000000"/>
            </w14:solidFill>
            <w14:prstDash w14:val="solid"/>
            <w14:bevel/>
          </w14:textOutline>
        </w:rPr>
        <w:t>注</w:t>
      </w:r>
      <w:r>
        <w:rPr>
          <w:rFonts w:hint="default" w:ascii="Times New Roman" w:hAnsi="Times New Roman" w:eastAsia="宋体" w:cs="Times New Roman"/>
          <w:snapToGrid w:val="0"/>
          <w:color w:val="000000"/>
          <w:spacing w:val="0"/>
          <w:w w:val="100"/>
          <w:kern w:val="0"/>
          <w:position w:val="0"/>
          <w:sz w:val="21"/>
          <w:szCs w:val="21"/>
          <w:highlight w:val="none"/>
        </w:rPr>
        <w:t>：①其他工程：指除上述以外的工程，如防渗、架设工程等；②安装工程：包括设备及金属结构件（钢管、铸铁管等）安装、</w:t>
      </w:r>
      <w:r>
        <w:rPr>
          <w:rFonts w:hint="default" w:ascii="Times New Roman" w:hAnsi="Times New Roman" w:eastAsia="Times New Roman" w:cs="Times New Roman"/>
          <w:snapToGrid w:val="0"/>
          <w:color w:val="000000"/>
          <w:spacing w:val="0"/>
          <w:w w:val="100"/>
          <w:kern w:val="0"/>
          <w:position w:val="0"/>
          <w:sz w:val="21"/>
          <w:szCs w:val="21"/>
          <w:highlight w:val="none"/>
        </w:rPr>
        <w:t>PVC</w:t>
      </w:r>
      <w:r>
        <w:rPr>
          <w:rFonts w:hint="default" w:ascii="Times New Roman" w:hAnsi="Times New Roman" w:eastAsia="宋体" w:cs="Times New Roman"/>
          <w:snapToGrid w:val="0"/>
          <w:color w:val="000000"/>
          <w:spacing w:val="0"/>
          <w:w w:val="100"/>
          <w:kern w:val="0"/>
          <w:position w:val="0"/>
          <w:sz w:val="21"/>
          <w:szCs w:val="21"/>
          <w:highlight w:val="none"/>
        </w:rPr>
        <w:t>管、混凝土管安装工程等。</w:t>
      </w:r>
    </w:p>
    <w:p>
      <w:pPr>
        <w:keepNext w:val="0"/>
        <w:keepLines w:val="0"/>
        <w:pageBreakBefore w:val="0"/>
        <w:widowControl/>
        <w:kinsoku/>
        <w:wordWrap/>
        <w:overflowPunct/>
        <w:topLinePunct/>
        <w:autoSpaceDE w:val="0"/>
        <w:autoSpaceDN w:val="0"/>
        <w:bidi w:val="0"/>
        <w:adjustRightInd w:val="0"/>
        <w:snapToGrid w:val="0"/>
        <w:spacing w:line="360" w:lineRule="auto"/>
        <w:ind w:left="14" w:right="5" w:firstLine="561"/>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default" w:ascii="Times New Roman" w:hAnsi="Times New Roman" w:eastAsia="宋体" w:cs="Times New Roman"/>
          <w:snapToGrid w:val="0"/>
          <w:color w:val="000000"/>
          <w:spacing w:val="0"/>
          <w:w w:val="100"/>
          <w:kern w:val="0"/>
          <w:position w:val="0"/>
          <w:sz w:val="28"/>
          <w:szCs w:val="28"/>
          <w:lang w:val="en-US" w:eastAsia="zh-CN"/>
        </w:rPr>
        <w:t>2）冬雨季施工增加费</w:t>
      </w:r>
    </w:p>
    <w:p>
      <w:pPr>
        <w:keepNext w:val="0"/>
        <w:keepLines w:val="0"/>
        <w:pageBreakBefore w:val="0"/>
        <w:widowControl/>
        <w:kinsoku/>
        <w:wordWrap/>
        <w:overflowPunct/>
        <w:topLinePunct/>
        <w:autoSpaceDE w:val="0"/>
        <w:autoSpaceDN w:val="0"/>
        <w:bidi w:val="0"/>
        <w:adjustRightInd w:val="0"/>
        <w:snapToGrid w:val="0"/>
        <w:spacing w:line="360" w:lineRule="auto"/>
        <w:ind w:left="14" w:right="5" w:firstLine="561"/>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default" w:ascii="Times New Roman" w:hAnsi="Times New Roman" w:eastAsia="宋体" w:cs="Times New Roman"/>
          <w:snapToGrid w:val="0"/>
          <w:color w:val="000000"/>
          <w:spacing w:val="0"/>
          <w:w w:val="100"/>
          <w:kern w:val="0"/>
          <w:position w:val="0"/>
          <w:sz w:val="28"/>
          <w:szCs w:val="28"/>
          <w:lang w:val="en-US" w:eastAsia="zh-CN"/>
        </w:rPr>
        <w:t>按直接工程费的百分率计算，费率为0.7%</w:t>
      </w:r>
      <w:r>
        <w:rPr>
          <w:rFonts w:hint="eastAsia" w:ascii="Times New Roman" w:hAnsi="Times New Roman" w:eastAsia="宋体" w:cs="Times New Roman"/>
          <w:snapToGrid w:val="0"/>
          <w:color w:val="000000"/>
          <w:spacing w:val="0"/>
          <w:w w:val="100"/>
          <w:kern w:val="0"/>
          <w:position w:val="0"/>
          <w:sz w:val="28"/>
          <w:szCs w:val="28"/>
          <w:lang w:val="en-US" w:eastAsia="zh-CN"/>
        </w:rPr>
        <w:t>～</w:t>
      </w:r>
      <w:r>
        <w:rPr>
          <w:rFonts w:hint="default" w:ascii="Times New Roman" w:hAnsi="Times New Roman" w:eastAsia="宋体" w:cs="Times New Roman"/>
          <w:snapToGrid w:val="0"/>
          <w:color w:val="000000"/>
          <w:spacing w:val="0"/>
          <w:w w:val="100"/>
          <w:kern w:val="0"/>
          <w:position w:val="0"/>
          <w:sz w:val="28"/>
          <w:szCs w:val="28"/>
          <w:lang w:val="en-US" w:eastAsia="zh-CN"/>
        </w:rPr>
        <w:t>1.5%。其中：不在冬雨季施工的项目取小值，部分工程在冬雨季施工的取中值，全部施工在冬雨季施工的项目取大值。</w:t>
      </w:r>
    </w:p>
    <w:p>
      <w:pPr>
        <w:keepNext w:val="0"/>
        <w:keepLines w:val="0"/>
        <w:pageBreakBefore w:val="0"/>
        <w:widowControl/>
        <w:kinsoku/>
        <w:wordWrap/>
        <w:overflowPunct/>
        <w:topLinePunct/>
        <w:autoSpaceDE w:val="0"/>
        <w:autoSpaceDN w:val="0"/>
        <w:bidi w:val="0"/>
        <w:adjustRightInd w:val="0"/>
        <w:snapToGrid w:val="0"/>
        <w:spacing w:line="360" w:lineRule="auto"/>
        <w:ind w:left="14" w:right="5" w:firstLine="561"/>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default" w:ascii="Times New Roman" w:hAnsi="Times New Roman" w:eastAsia="宋体" w:cs="Times New Roman"/>
          <w:snapToGrid w:val="0"/>
          <w:color w:val="000000"/>
          <w:spacing w:val="0"/>
          <w:w w:val="100"/>
          <w:kern w:val="0"/>
          <w:position w:val="0"/>
          <w:sz w:val="28"/>
          <w:szCs w:val="28"/>
          <w:lang w:val="en-US" w:eastAsia="zh-CN"/>
        </w:rPr>
        <w:t>3）夜间施工增加费</w:t>
      </w:r>
    </w:p>
    <w:p>
      <w:pPr>
        <w:keepNext w:val="0"/>
        <w:keepLines w:val="0"/>
        <w:pageBreakBefore w:val="0"/>
        <w:widowControl/>
        <w:kinsoku/>
        <w:wordWrap/>
        <w:overflowPunct/>
        <w:topLinePunct/>
        <w:autoSpaceDE w:val="0"/>
        <w:autoSpaceDN w:val="0"/>
        <w:bidi w:val="0"/>
        <w:adjustRightInd w:val="0"/>
        <w:snapToGrid w:val="0"/>
        <w:spacing w:line="360" w:lineRule="auto"/>
        <w:ind w:left="14" w:right="5" w:firstLine="561"/>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default" w:ascii="Times New Roman" w:hAnsi="Times New Roman" w:eastAsia="宋体" w:cs="Times New Roman"/>
          <w:snapToGrid w:val="0"/>
          <w:color w:val="000000"/>
          <w:spacing w:val="0"/>
          <w:w w:val="100"/>
          <w:kern w:val="0"/>
          <w:position w:val="0"/>
          <w:sz w:val="28"/>
          <w:szCs w:val="28"/>
          <w:lang w:val="en-US" w:eastAsia="zh-CN"/>
        </w:rPr>
        <w:t>按直接工程费的百分率计算：安装工程0.5%，建筑工程为0.2%。</w:t>
      </w:r>
    </w:p>
    <w:p>
      <w:pPr>
        <w:keepNext w:val="0"/>
        <w:keepLines w:val="0"/>
        <w:pageBreakBefore w:val="0"/>
        <w:widowControl/>
        <w:kinsoku/>
        <w:wordWrap/>
        <w:overflowPunct/>
        <w:topLinePunct/>
        <w:autoSpaceDE w:val="0"/>
        <w:autoSpaceDN w:val="0"/>
        <w:bidi w:val="0"/>
        <w:adjustRightInd w:val="0"/>
        <w:snapToGrid w:val="0"/>
        <w:spacing w:line="360" w:lineRule="auto"/>
        <w:ind w:left="14" w:right="5" w:firstLine="561"/>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default" w:ascii="Times New Roman" w:hAnsi="Times New Roman" w:eastAsia="宋体" w:cs="Times New Roman"/>
          <w:snapToGrid w:val="0"/>
          <w:color w:val="000000"/>
          <w:spacing w:val="0"/>
          <w:w w:val="100"/>
          <w:kern w:val="0"/>
          <w:position w:val="0"/>
          <w:sz w:val="28"/>
          <w:szCs w:val="28"/>
          <w:lang w:val="en-US" w:eastAsia="zh-CN"/>
        </w:rPr>
        <w:t>4）施工辅助费</w:t>
      </w:r>
    </w:p>
    <w:p>
      <w:pPr>
        <w:keepNext w:val="0"/>
        <w:keepLines w:val="0"/>
        <w:pageBreakBefore w:val="0"/>
        <w:widowControl/>
        <w:kinsoku/>
        <w:wordWrap/>
        <w:overflowPunct/>
        <w:topLinePunct/>
        <w:autoSpaceDE w:val="0"/>
        <w:autoSpaceDN w:val="0"/>
        <w:bidi w:val="0"/>
        <w:adjustRightInd w:val="0"/>
        <w:snapToGrid w:val="0"/>
        <w:spacing w:line="360" w:lineRule="auto"/>
        <w:ind w:left="14" w:right="5" w:firstLine="561"/>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default" w:ascii="Times New Roman" w:hAnsi="Times New Roman" w:eastAsia="宋体" w:cs="Times New Roman"/>
          <w:snapToGrid w:val="0"/>
          <w:color w:val="000000"/>
          <w:spacing w:val="0"/>
          <w:w w:val="100"/>
          <w:kern w:val="0"/>
          <w:position w:val="0"/>
          <w:sz w:val="28"/>
          <w:szCs w:val="28"/>
          <w:lang w:val="en-US" w:eastAsia="zh-CN"/>
        </w:rPr>
        <w:t>按直接工程费的百分率计算：安装工程1.0%，建筑工程为0.7%。</w:t>
      </w:r>
    </w:p>
    <w:p>
      <w:pPr>
        <w:keepNext w:val="0"/>
        <w:keepLines w:val="0"/>
        <w:pageBreakBefore w:val="0"/>
        <w:widowControl/>
        <w:kinsoku/>
        <w:wordWrap/>
        <w:overflowPunct/>
        <w:topLinePunct/>
        <w:autoSpaceDE w:val="0"/>
        <w:autoSpaceDN w:val="0"/>
        <w:bidi w:val="0"/>
        <w:adjustRightInd w:val="0"/>
        <w:snapToGrid w:val="0"/>
        <w:spacing w:line="360" w:lineRule="auto"/>
        <w:ind w:left="14" w:right="5" w:firstLine="561"/>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default" w:ascii="Times New Roman" w:hAnsi="Times New Roman" w:eastAsia="宋体" w:cs="Times New Roman"/>
          <w:snapToGrid w:val="0"/>
          <w:color w:val="000000"/>
          <w:spacing w:val="0"/>
          <w:w w:val="100"/>
          <w:kern w:val="0"/>
          <w:position w:val="0"/>
          <w:sz w:val="28"/>
          <w:szCs w:val="28"/>
          <w:lang w:val="en-US" w:eastAsia="zh-CN"/>
        </w:rPr>
        <w:t>5）特殊地区施工增加费</w:t>
      </w:r>
    </w:p>
    <w:p>
      <w:pPr>
        <w:keepNext w:val="0"/>
        <w:keepLines w:val="0"/>
        <w:pageBreakBefore w:val="0"/>
        <w:widowControl/>
        <w:kinsoku/>
        <w:wordWrap/>
        <w:overflowPunct/>
        <w:topLinePunct/>
        <w:autoSpaceDE w:val="0"/>
        <w:autoSpaceDN w:val="0"/>
        <w:bidi w:val="0"/>
        <w:adjustRightInd w:val="0"/>
        <w:snapToGrid w:val="0"/>
        <w:spacing w:line="360" w:lineRule="auto"/>
        <w:ind w:left="14" w:right="5" w:firstLine="561"/>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default" w:ascii="Times New Roman" w:hAnsi="Times New Roman" w:eastAsia="宋体" w:cs="Times New Roman"/>
          <w:snapToGrid w:val="0"/>
          <w:color w:val="000000"/>
          <w:spacing w:val="0"/>
          <w:w w:val="100"/>
          <w:kern w:val="0"/>
          <w:position w:val="0"/>
          <w:sz w:val="28"/>
          <w:szCs w:val="28"/>
          <w:lang w:val="en-US" w:eastAsia="zh-CN"/>
        </w:rPr>
        <w:t>高海拔地区的高程增加费，按规定直接计入定额；其他特殊增加费（如酷热、风沙等），按工程所在地区的标准计算，地方没有规定的不得计算此项费用。</w:t>
      </w:r>
    </w:p>
    <w:p>
      <w:pPr>
        <w:keepNext w:val="0"/>
        <w:keepLines w:val="0"/>
        <w:pageBreakBefore w:val="0"/>
        <w:widowControl/>
        <w:kinsoku/>
        <w:wordWrap/>
        <w:overflowPunct/>
        <w:topLinePunct/>
        <w:autoSpaceDE w:val="0"/>
        <w:autoSpaceDN w:val="0"/>
        <w:bidi w:val="0"/>
        <w:adjustRightInd w:val="0"/>
        <w:snapToGrid w:val="0"/>
        <w:spacing w:line="360" w:lineRule="auto"/>
        <w:ind w:left="14" w:right="5" w:firstLine="561"/>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default" w:ascii="Times New Roman" w:hAnsi="Times New Roman" w:eastAsia="宋体" w:cs="Times New Roman"/>
          <w:snapToGrid w:val="0"/>
          <w:color w:val="000000"/>
          <w:spacing w:val="0"/>
          <w:w w:val="100"/>
          <w:kern w:val="0"/>
          <w:position w:val="0"/>
          <w:sz w:val="28"/>
          <w:szCs w:val="28"/>
          <w:lang w:val="en-US" w:eastAsia="zh-CN"/>
        </w:rPr>
        <w:t>6）安全施工措施费</w:t>
      </w:r>
    </w:p>
    <w:p>
      <w:pPr>
        <w:keepNext w:val="0"/>
        <w:keepLines w:val="0"/>
        <w:pageBreakBefore w:val="0"/>
        <w:widowControl/>
        <w:kinsoku/>
        <w:wordWrap/>
        <w:overflowPunct/>
        <w:topLinePunct/>
        <w:autoSpaceDE w:val="0"/>
        <w:autoSpaceDN w:val="0"/>
        <w:bidi w:val="0"/>
        <w:adjustRightInd w:val="0"/>
        <w:snapToGrid w:val="0"/>
        <w:spacing w:line="360" w:lineRule="auto"/>
        <w:ind w:left="14" w:right="5" w:firstLine="561"/>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default" w:ascii="Times New Roman" w:hAnsi="Times New Roman" w:eastAsia="宋体" w:cs="Times New Roman"/>
          <w:snapToGrid w:val="0"/>
          <w:color w:val="000000"/>
          <w:spacing w:val="0"/>
          <w:w w:val="100"/>
          <w:kern w:val="0"/>
          <w:position w:val="0"/>
          <w:sz w:val="28"/>
          <w:szCs w:val="28"/>
          <w:lang w:val="en-US" w:eastAsia="zh-CN"/>
        </w:rPr>
        <w:t>按直接工程费的百分率计算，其中：安装工程0.3%，建筑工程为0.2%。</w:t>
      </w:r>
    </w:p>
    <w:p>
      <w:pPr>
        <w:spacing w:line="0" w:lineRule="atLeast"/>
        <w:ind w:firstLine="482" w:firstLineChars="200"/>
        <w:jc w:val="center"/>
        <w:rPr>
          <w:rFonts w:hint="default" w:ascii="Times New Roman" w:hAnsi="Times New Roman" w:eastAsia="宋体" w:cs="Times New Roman"/>
          <w:b/>
          <w:sz w:val="24"/>
          <w:szCs w:val="24"/>
          <w:lang w:val="en-US" w:eastAsia="zh-CN"/>
        </w:rPr>
      </w:pPr>
    </w:p>
    <w:p>
      <w:pPr>
        <w:keepNext w:val="0"/>
        <w:keepLines w:val="0"/>
        <w:pageBreakBefore w:val="0"/>
        <w:widowControl/>
        <w:kinsoku/>
        <w:wordWrap/>
        <w:overflowPunct/>
        <w:topLinePunct/>
        <w:autoSpaceDE w:val="0"/>
        <w:autoSpaceDN w:val="0"/>
        <w:bidi w:val="0"/>
        <w:adjustRightInd w:val="0"/>
        <w:snapToGrid w:val="0"/>
        <w:spacing w:line="360" w:lineRule="auto"/>
        <w:ind w:firstLine="677"/>
        <w:jc w:val="both"/>
        <w:textAlignment w:val="baseline"/>
        <w:rPr>
          <w:rFonts w:hint="default" w:ascii="Times New Roman" w:hAnsi="Times New Roman" w:eastAsia="宋体" w:cs="Times New Roman"/>
          <w:snapToGrid w:val="0"/>
          <w:color w:val="000000"/>
          <w:spacing w:val="0"/>
          <w:w w:val="100"/>
          <w:kern w:val="0"/>
          <w:position w:val="0"/>
          <w:sz w:val="28"/>
          <w:szCs w:val="28"/>
        </w:rPr>
      </w:pPr>
      <w:r>
        <w:rPr>
          <w:rFonts w:hint="default" w:ascii="Times New Roman" w:hAnsi="Times New Roman" w:eastAsia="宋体" w:cs="Times New Roman"/>
          <w:snapToGrid w:val="0"/>
          <w:color w:val="000000"/>
          <w:spacing w:val="0"/>
          <w:w w:val="100"/>
          <w:kern w:val="0"/>
          <w:position w:val="0"/>
          <w:sz w:val="28"/>
          <w:szCs w:val="28"/>
          <w:lang w:eastAsia="zh-CN"/>
        </w:rPr>
        <w:t>（</w:t>
      </w:r>
      <w:r>
        <w:rPr>
          <w:rFonts w:hint="default" w:ascii="Times New Roman" w:hAnsi="Times New Roman" w:eastAsia="宋体" w:cs="Times New Roman"/>
          <w:snapToGrid w:val="0"/>
          <w:color w:val="000000"/>
          <w:spacing w:val="0"/>
          <w:w w:val="100"/>
          <w:kern w:val="0"/>
          <w:position w:val="0"/>
          <w:sz w:val="28"/>
          <w:szCs w:val="28"/>
          <w:lang w:val="en-US" w:eastAsia="zh-CN"/>
        </w:rPr>
        <w:t>2</w:t>
      </w:r>
      <w:r>
        <w:rPr>
          <w:rFonts w:hint="default" w:ascii="Times New Roman" w:hAnsi="Times New Roman" w:eastAsia="宋体" w:cs="Times New Roman"/>
          <w:snapToGrid w:val="0"/>
          <w:color w:val="000000"/>
          <w:spacing w:val="0"/>
          <w:w w:val="100"/>
          <w:kern w:val="0"/>
          <w:position w:val="0"/>
          <w:sz w:val="28"/>
          <w:szCs w:val="28"/>
          <w:lang w:eastAsia="zh-CN"/>
        </w:rPr>
        <w:t>）</w:t>
      </w:r>
      <w:r>
        <w:rPr>
          <w:rFonts w:hint="default" w:ascii="Times New Roman" w:hAnsi="Times New Roman" w:eastAsia="宋体" w:cs="Times New Roman"/>
          <w:snapToGrid w:val="0"/>
          <w:color w:val="000000"/>
          <w:spacing w:val="0"/>
          <w:w w:val="100"/>
          <w:kern w:val="0"/>
          <w:position w:val="0"/>
          <w:sz w:val="28"/>
          <w:szCs w:val="28"/>
        </w:rPr>
        <w:t>间接费</w:t>
      </w:r>
    </w:p>
    <w:p>
      <w:pPr>
        <w:keepNext w:val="0"/>
        <w:keepLines w:val="0"/>
        <w:pageBreakBefore w:val="0"/>
        <w:widowControl/>
        <w:kinsoku/>
        <w:wordWrap/>
        <w:overflowPunct/>
        <w:topLinePunct/>
        <w:autoSpaceDE w:val="0"/>
        <w:autoSpaceDN w:val="0"/>
        <w:bidi w:val="0"/>
        <w:adjustRightInd w:val="0"/>
        <w:snapToGrid w:val="0"/>
        <w:spacing w:line="360" w:lineRule="auto"/>
        <w:ind w:firstLine="712"/>
        <w:jc w:val="both"/>
        <w:textAlignment w:val="baseline"/>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snapToGrid w:val="0"/>
          <w:color w:val="000000"/>
          <w:spacing w:val="0"/>
          <w:w w:val="100"/>
          <w:kern w:val="0"/>
          <w:position w:val="0"/>
          <w:sz w:val="28"/>
          <w:szCs w:val="28"/>
        </w:rPr>
        <w:t>间接费=直接费（或人工费）×间接费率</w:t>
      </w:r>
    </w:p>
    <w:p>
      <w:pPr>
        <w:spacing w:line="0" w:lineRule="atLeast"/>
        <w:ind w:firstLine="482" w:firstLineChars="200"/>
        <w:jc w:val="center"/>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表5-3间接费费率表</w:t>
      </w:r>
    </w:p>
    <w:tbl>
      <w:tblPr>
        <w:tblStyle w:val="23"/>
        <w:tblW w:w="4998" w:type="pct"/>
        <w:jc w:val="center"/>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Layout w:type="autofit"/>
        <w:tblCellMar>
          <w:top w:w="0" w:type="dxa"/>
          <w:left w:w="0" w:type="dxa"/>
          <w:bottom w:w="0" w:type="dxa"/>
          <w:right w:w="0" w:type="dxa"/>
        </w:tblCellMar>
      </w:tblPr>
      <w:tblGrid>
        <w:gridCol w:w="963"/>
        <w:gridCol w:w="2696"/>
        <w:gridCol w:w="1655"/>
        <w:gridCol w:w="2989"/>
      </w:tblGrid>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62" w:hRule="atLeast"/>
          <w:jc w:val="center"/>
        </w:trPr>
        <w:tc>
          <w:tcPr>
            <w:tcW w:w="580"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76"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rPr>
            </w:pPr>
            <w:r>
              <w:rPr>
                <w:rFonts w:hint="default" w:ascii="Times New Roman" w:hAnsi="Times New Roman" w:eastAsia="宋体" w:cs="Times New Roman"/>
                <w:b/>
                <w:bCs/>
                <w:snapToGrid w:val="0"/>
                <w:color w:val="000000"/>
                <w:spacing w:val="0"/>
                <w:w w:val="100"/>
                <w:kern w:val="0"/>
                <w:position w:val="0"/>
                <w:sz w:val="21"/>
                <w:szCs w:val="21"/>
              </w:rPr>
              <w:t>序号</w:t>
            </w:r>
          </w:p>
        </w:tc>
        <w:tc>
          <w:tcPr>
            <w:tcW w:w="1623"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76"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rPr>
            </w:pPr>
            <w:r>
              <w:rPr>
                <w:rFonts w:hint="default" w:ascii="Times New Roman" w:hAnsi="Times New Roman" w:eastAsia="宋体" w:cs="Times New Roman"/>
                <w:b/>
                <w:bCs/>
                <w:snapToGrid w:val="0"/>
                <w:color w:val="000000"/>
                <w:spacing w:val="0"/>
                <w:w w:val="100"/>
                <w:kern w:val="0"/>
                <w:position w:val="0"/>
                <w:sz w:val="21"/>
                <w:szCs w:val="21"/>
              </w:rPr>
              <w:t>工程类别</w:t>
            </w:r>
          </w:p>
        </w:tc>
        <w:tc>
          <w:tcPr>
            <w:tcW w:w="996"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76"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rPr>
            </w:pPr>
            <w:r>
              <w:rPr>
                <w:rFonts w:hint="default" w:ascii="Times New Roman" w:hAnsi="Times New Roman" w:eastAsia="宋体" w:cs="Times New Roman"/>
                <w:b/>
                <w:bCs/>
                <w:snapToGrid w:val="0"/>
                <w:color w:val="000000"/>
                <w:spacing w:val="0"/>
                <w:w w:val="100"/>
                <w:kern w:val="0"/>
                <w:position w:val="0"/>
                <w:sz w:val="21"/>
                <w:szCs w:val="21"/>
              </w:rPr>
              <w:t>计算基础</w:t>
            </w:r>
          </w:p>
        </w:tc>
        <w:tc>
          <w:tcPr>
            <w:tcW w:w="1799"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39"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rPr>
            </w:pPr>
            <w:r>
              <w:rPr>
                <w:rFonts w:hint="default" w:ascii="Times New Roman" w:hAnsi="Times New Roman" w:eastAsia="宋体" w:cs="Times New Roman"/>
                <w:b/>
                <w:bCs/>
                <w:snapToGrid w:val="0"/>
                <w:color w:val="000000"/>
                <w:spacing w:val="0"/>
                <w:w w:val="100"/>
                <w:kern w:val="0"/>
                <w:position w:val="0"/>
                <w:sz w:val="21"/>
                <w:szCs w:val="21"/>
              </w:rPr>
              <w:t>间接费费率（%）</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58" w:hRule="atLeast"/>
          <w:jc w:val="center"/>
        </w:trPr>
        <w:tc>
          <w:tcPr>
            <w:tcW w:w="580"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1</w:t>
            </w:r>
          </w:p>
        </w:tc>
        <w:tc>
          <w:tcPr>
            <w:tcW w:w="1623"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7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土方工程</w:t>
            </w:r>
          </w:p>
        </w:tc>
        <w:tc>
          <w:tcPr>
            <w:tcW w:w="996"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7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直接费</w:t>
            </w:r>
          </w:p>
        </w:tc>
        <w:tc>
          <w:tcPr>
            <w:tcW w:w="1799"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5.45</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58" w:hRule="atLeast"/>
          <w:jc w:val="center"/>
        </w:trPr>
        <w:tc>
          <w:tcPr>
            <w:tcW w:w="580"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110"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2</w:t>
            </w:r>
          </w:p>
        </w:tc>
        <w:tc>
          <w:tcPr>
            <w:tcW w:w="1623"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73"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石方工程</w:t>
            </w:r>
          </w:p>
        </w:tc>
        <w:tc>
          <w:tcPr>
            <w:tcW w:w="996"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73"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直接费</w:t>
            </w:r>
          </w:p>
        </w:tc>
        <w:tc>
          <w:tcPr>
            <w:tcW w:w="1799"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110"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6.45</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58" w:hRule="atLeast"/>
          <w:jc w:val="center"/>
        </w:trPr>
        <w:tc>
          <w:tcPr>
            <w:tcW w:w="580"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112"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3</w:t>
            </w:r>
          </w:p>
        </w:tc>
        <w:tc>
          <w:tcPr>
            <w:tcW w:w="1623"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75"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砌体工程</w:t>
            </w:r>
          </w:p>
        </w:tc>
        <w:tc>
          <w:tcPr>
            <w:tcW w:w="996"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75"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直接费</w:t>
            </w:r>
          </w:p>
        </w:tc>
        <w:tc>
          <w:tcPr>
            <w:tcW w:w="1799"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112"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5.45</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58" w:hRule="atLeast"/>
          <w:jc w:val="center"/>
        </w:trPr>
        <w:tc>
          <w:tcPr>
            <w:tcW w:w="580"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114"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4</w:t>
            </w:r>
          </w:p>
        </w:tc>
        <w:tc>
          <w:tcPr>
            <w:tcW w:w="1623"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74"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混凝土工程</w:t>
            </w:r>
          </w:p>
        </w:tc>
        <w:tc>
          <w:tcPr>
            <w:tcW w:w="996"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74"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直接费</w:t>
            </w:r>
          </w:p>
        </w:tc>
        <w:tc>
          <w:tcPr>
            <w:tcW w:w="1799"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114"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6.45</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58" w:hRule="atLeast"/>
          <w:jc w:val="center"/>
        </w:trPr>
        <w:tc>
          <w:tcPr>
            <w:tcW w:w="580"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116"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5</w:t>
            </w:r>
          </w:p>
        </w:tc>
        <w:tc>
          <w:tcPr>
            <w:tcW w:w="1623"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76"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农用井钻孔工程</w:t>
            </w:r>
          </w:p>
        </w:tc>
        <w:tc>
          <w:tcPr>
            <w:tcW w:w="996"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76"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直接费</w:t>
            </w:r>
          </w:p>
        </w:tc>
        <w:tc>
          <w:tcPr>
            <w:tcW w:w="1799"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113"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8.45</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58" w:hRule="atLeast"/>
          <w:jc w:val="center"/>
        </w:trPr>
        <w:tc>
          <w:tcPr>
            <w:tcW w:w="580"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115"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6</w:t>
            </w:r>
          </w:p>
        </w:tc>
        <w:tc>
          <w:tcPr>
            <w:tcW w:w="1623"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78"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其他工程</w:t>
            </w:r>
          </w:p>
        </w:tc>
        <w:tc>
          <w:tcPr>
            <w:tcW w:w="996"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78"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直接费</w:t>
            </w:r>
          </w:p>
        </w:tc>
        <w:tc>
          <w:tcPr>
            <w:tcW w:w="1799"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115"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5.45</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71" w:hRule="atLeast"/>
          <w:jc w:val="center"/>
        </w:trPr>
        <w:tc>
          <w:tcPr>
            <w:tcW w:w="580"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122"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7</w:t>
            </w:r>
          </w:p>
        </w:tc>
        <w:tc>
          <w:tcPr>
            <w:tcW w:w="1623"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82"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安装工程</w:t>
            </w:r>
          </w:p>
        </w:tc>
        <w:tc>
          <w:tcPr>
            <w:tcW w:w="996"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82"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人工费用</w:t>
            </w:r>
          </w:p>
        </w:tc>
        <w:tc>
          <w:tcPr>
            <w:tcW w:w="1799" w:type="pct"/>
            <w:tcBorders>
              <w:tl2br w:val="nil"/>
              <w:tr2bl w:val="nil"/>
            </w:tcBorders>
            <w:vAlign w:val="center"/>
          </w:tcPr>
          <w:p>
            <w:pPr>
              <w:keepNext w:val="0"/>
              <w:keepLines w:val="0"/>
              <w:pageBreakBefore w:val="0"/>
              <w:widowControl/>
              <w:kinsoku/>
              <w:wordWrap/>
              <w:overflowPunct/>
              <w:topLinePunct/>
              <w:autoSpaceDE w:val="0"/>
              <w:autoSpaceDN w:val="0"/>
              <w:bidi w:val="0"/>
              <w:adjustRightInd w:val="0"/>
              <w:snapToGrid w:val="0"/>
              <w:spacing w:before="119"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rPr>
            </w:pPr>
            <w:r>
              <w:rPr>
                <w:rFonts w:hint="default" w:ascii="Times New Roman" w:hAnsi="Times New Roman" w:eastAsia="宋体" w:cs="Times New Roman"/>
                <w:snapToGrid w:val="0"/>
                <w:color w:val="000000"/>
                <w:spacing w:val="0"/>
                <w:w w:val="100"/>
                <w:kern w:val="0"/>
                <w:position w:val="0"/>
                <w:sz w:val="21"/>
                <w:szCs w:val="21"/>
              </w:rPr>
              <w:t>65</w:t>
            </w:r>
          </w:p>
        </w:tc>
      </w:tr>
    </w:tbl>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both"/>
        <w:textAlignment w:val="baseline"/>
        <w:rPr>
          <w:rFonts w:hint="default" w:ascii="Times New Roman" w:hAnsi="Times New Roman" w:eastAsia="宋体" w:cs="Times New Roman"/>
          <w:snapToGrid w:val="0"/>
          <w:color w:val="000000"/>
          <w:spacing w:val="0"/>
          <w:w w:val="100"/>
          <w:kern w:val="0"/>
          <w:position w:val="0"/>
          <w:sz w:val="28"/>
          <w:szCs w:val="28"/>
          <w:highlight w:val="none"/>
          <w:lang w:val="en-US" w:eastAsia="zh-CN"/>
        </w:rPr>
      </w:pPr>
      <w:r>
        <w:rPr>
          <w:rFonts w:hint="default" w:ascii="Times New Roman" w:hAnsi="Times New Roman" w:eastAsia="宋体" w:cs="Times New Roman"/>
          <w:snapToGrid w:val="0"/>
          <w:color w:val="000000"/>
          <w:spacing w:val="0"/>
          <w:w w:val="100"/>
          <w:kern w:val="0"/>
          <w:position w:val="0"/>
          <w:sz w:val="28"/>
          <w:szCs w:val="28"/>
          <w:highlight w:val="none"/>
          <w:lang w:val="en-US" w:eastAsia="zh-CN"/>
        </w:rPr>
        <w:t>（3）利润：（直接费+间接费）×3%。</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both"/>
        <w:textAlignment w:val="baseline"/>
        <w:rPr>
          <w:rFonts w:hint="default" w:ascii="Times New Roman" w:hAnsi="Times New Roman" w:eastAsia="宋体" w:cs="Times New Roman"/>
          <w:snapToGrid w:val="0"/>
          <w:color w:val="000000"/>
          <w:spacing w:val="0"/>
          <w:w w:val="100"/>
          <w:kern w:val="0"/>
          <w:position w:val="0"/>
          <w:sz w:val="28"/>
          <w:szCs w:val="28"/>
          <w:highlight w:val="none"/>
          <w:lang w:val="en-US" w:eastAsia="zh-CN"/>
        </w:rPr>
      </w:pPr>
      <w:r>
        <w:rPr>
          <w:rFonts w:hint="default" w:ascii="Times New Roman" w:hAnsi="Times New Roman" w:eastAsia="宋体" w:cs="Times New Roman"/>
          <w:snapToGrid w:val="0"/>
          <w:color w:val="000000"/>
          <w:spacing w:val="0"/>
          <w:w w:val="100"/>
          <w:kern w:val="0"/>
          <w:position w:val="0"/>
          <w:sz w:val="28"/>
          <w:szCs w:val="28"/>
          <w:highlight w:val="none"/>
          <w:lang w:val="en-US" w:eastAsia="zh-CN"/>
        </w:rPr>
        <w:t>（4）税金=（直接费+间接费+利润+价差+未计价材料费）×9%。</w:t>
      </w:r>
    </w:p>
    <w:p>
      <w:pPr>
        <w:keepNext w:val="0"/>
        <w:keepLines w:val="0"/>
        <w:pageBreakBefore w:val="0"/>
        <w:widowControl/>
        <w:kinsoku/>
        <w:wordWrap/>
        <w:overflowPunct/>
        <w:topLinePunct/>
        <w:autoSpaceDE w:val="0"/>
        <w:autoSpaceDN w:val="0"/>
        <w:bidi w:val="0"/>
        <w:adjustRightInd w:val="0"/>
        <w:snapToGrid w:val="0"/>
        <w:spacing w:line="360" w:lineRule="auto"/>
        <w:ind w:firstLine="677"/>
        <w:jc w:val="both"/>
        <w:textAlignment w:val="baseline"/>
        <w:rPr>
          <w:rFonts w:hint="default" w:ascii="Times New Roman" w:hAnsi="Times New Roman" w:eastAsia="宋体" w:cs="Times New Roman"/>
          <w:snapToGrid w:val="0"/>
          <w:color w:val="000000"/>
          <w:spacing w:val="0"/>
          <w:w w:val="100"/>
          <w:kern w:val="0"/>
          <w:position w:val="0"/>
          <w:sz w:val="28"/>
          <w:szCs w:val="28"/>
          <w:highlight w:val="none"/>
          <w:lang w:val="en-US" w:eastAsia="zh-CN"/>
        </w:rPr>
      </w:pPr>
      <w:r>
        <w:rPr>
          <w:rFonts w:hint="default" w:ascii="Times New Roman" w:hAnsi="Times New Roman" w:eastAsia="宋体" w:cs="Times New Roman"/>
          <w:snapToGrid w:val="0"/>
          <w:color w:val="000000"/>
          <w:spacing w:val="0"/>
          <w:w w:val="100"/>
          <w:kern w:val="0"/>
          <w:position w:val="0"/>
          <w:sz w:val="28"/>
          <w:szCs w:val="28"/>
          <w:highlight w:val="none"/>
          <w:lang w:val="en-US" w:eastAsia="zh-CN"/>
        </w:rPr>
        <w:t>2、设备购置费</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both"/>
        <w:textAlignment w:val="baseline"/>
        <w:rPr>
          <w:rFonts w:hint="default" w:ascii="Times New Roman" w:hAnsi="Times New Roman" w:eastAsia="宋体" w:cs="Times New Roman"/>
          <w:snapToGrid w:val="0"/>
          <w:color w:val="000000"/>
          <w:spacing w:val="0"/>
          <w:w w:val="100"/>
          <w:kern w:val="0"/>
          <w:position w:val="0"/>
          <w:sz w:val="28"/>
          <w:szCs w:val="28"/>
          <w:highlight w:val="none"/>
          <w:lang w:val="en-US" w:eastAsia="zh-CN"/>
        </w:rPr>
      </w:pPr>
      <w:r>
        <w:rPr>
          <w:rFonts w:hint="default" w:ascii="Times New Roman" w:hAnsi="Times New Roman" w:eastAsia="宋体" w:cs="Times New Roman"/>
          <w:snapToGrid w:val="0"/>
          <w:color w:val="000000"/>
          <w:spacing w:val="0"/>
          <w:w w:val="100"/>
          <w:kern w:val="0"/>
          <w:position w:val="0"/>
          <w:sz w:val="28"/>
          <w:szCs w:val="28"/>
          <w:highlight w:val="none"/>
          <w:lang w:val="en-US" w:eastAsia="zh-CN"/>
        </w:rPr>
        <w:t>该项目无设备购置费。</w:t>
      </w:r>
    </w:p>
    <w:p>
      <w:pPr>
        <w:keepNext w:val="0"/>
        <w:keepLines w:val="0"/>
        <w:pageBreakBefore w:val="0"/>
        <w:widowControl/>
        <w:kinsoku/>
        <w:wordWrap/>
        <w:overflowPunct/>
        <w:topLinePunct/>
        <w:autoSpaceDE w:val="0"/>
        <w:autoSpaceDN w:val="0"/>
        <w:bidi w:val="0"/>
        <w:adjustRightInd w:val="0"/>
        <w:snapToGrid w:val="0"/>
        <w:spacing w:line="360" w:lineRule="auto"/>
        <w:ind w:firstLine="677"/>
        <w:jc w:val="both"/>
        <w:textAlignment w:val="baseline"/>
        <w:rPr>
          <w:rFonts w:hint="default" w:ascii="Times New Roman" w:hAnsi="Times New Roman" w:eastAsia="宋体" w:cs="Times New Roman"/>
          <w:snapToGrid w:val="0"/>
          <w:color w:val="000000"/>
          <w:spacing w:val="0"/>
          <w:w w:val="100"/>
          <w:kern w:val="0"/>
          <w:position w:val="0"/>
          <w:sz w:val="28"/>
          <w:szCs w:val="28"/>
          <w:highlight w:val="none"/>
          <w:lang w:val="en-US" w:eastAsia="zh-CN"/>
        </w:rPr>
      </w:pPr>
      <w:r>
        <w:rPr>
          <w:rFonts w:hint="default" w:ascii="Times New Roman" w:hAnsi="Times New Roman" w:eastAsia="宋体" w:cs="Times New Roman"/>
          <w:snapToGrid w:val="0"/>
          <w:color w:val="000000"/>
          <w:spacing w:val="0"/>
          <w:w w:val="100"/>
          <w:kern w:val="0"/>
          <w:position w:val="0"/>
          <w:sz w:val="28"/>
          <w:szCs w:val="28"/>
          <w:highlight w:val="none"/>
          <w:lang w:val="en-US" w:eastAsia="zh-CN"/>
        </w:rPr>
        <w:t>3、其他费用</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default" w:ascii="Times New Roman" w:hAnsi="Times New Roman" w:eastAsia="宋体" w:cs="Times New Roman"/>
          <w:snapToGrid w:val="0"/>
          <w:color w:val="000000"/>
          <w:spacing w:val="0"/>
          <w:w w:val="100"/>
          <w:kern w:val="0"/>
          <w:position w:val="0"/>
          <w:sz w:val="28"/>
          <w:szCs w:val="28"/>
          <w:lang w:val="en-US" w:eastAsia="zh-CN"/>
        </w:rPr>
        <w:t>其他费用包括前期工作费、工程监理费、竣工验收费等，本次按工程施工费的12%计算，统筹使用。</w:t>
      </w:r>
    </w:p>
    <w:p>
      <w:pPr>
        <w:keepNext w:val="0"/>
        <w:keepLines w:val="0"/>
        <w:pageBreakBefore w:val="0"/>
        <w:widowControl/>
        <w:kinsoku/>
        <w:wordWrap/>
        <w:overflowPunct/>
        <w:topLinePunct/>
        <w:autoSpaceDE w:val="0"/>
        <w:autoSpaceDN w:val="0"/>
        <w:bidi w:val="0"/>
        <w:adjustRightInd w:val="0"/>
        <w:snapToGrid w:val="0"/>
        <w:spacing w:line="360" w:lineRule="auto"/>
        <w:ind w:firstLine="677"/>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default" w:ascii="Times New Roman" w:hAnsi="Times New Roman" w:eastAsia="宋体" w:cs="Times New Roman"/>
          <w:snapToGrid w:val="0"/>
          <w:color w:val="000000"/>
          <w:spacing w:val="0"/>
          <w:w w:val="100"/>
          <w:kern w:val="0"/>
          <w:position w:val="0"/>
          <w:sz w:val="28"/>
          <w:szCs w:val="28"/>
          <w:lang w:val="en-US" w:eastAsia="zh-CN"/>
        </w:rPr>
        <w:t>4、不可预见费</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default" w:ascii="Times New Roman" w:hAnsi="Times New Roman" w:eastAsia="宋体" w:cs="Times New Roman"/>
          <w:snapToGrid w:val="0"/>
          <w:color w:val="000000"/>
          <w:spacing w:val="0"/>
          <w:w w:val="100"/>
          <w:kern w:val="0"/>
          <w:position w:val="0"/>
          <w:sz w:val="28"/>
          <w:szCs w:val="28"/>
          <w:lang w:val="en-US" w:eastAsia="zh-CN"/>
        </w:rPr>
        <w:t>指在施工过程中因自然灾害、人工、材料、设备、工程量等的变化而增加的费用，本次不可预见费费率按工程施工费的10%计算，统筹使用。</w:t>
      </w:r>
    </w:p>
    <w:p>
      <w:pPr>
        <w:keepNext w:val="0"/>
        <w:keepLines w:val="0"/>
        <w:pageBreakBefore w:val="0"/>
        <w:widowControl/>
        <w:kinsoku/>
        <w:wordWrap/>
        <w:overflowPunct/>
        <w:topLinePunct/>
        <w:autoSpaceDE w:val="0"/>
        <w:autoSpaceDN w:val="0"/>
        <w:bidi w:val="0"/>
        <w:adjustRightInd w:val="0"/>
        <w:snapToGrid w:val="0"/>
        <w:spacing w:line="360" w:lineRule="auto"/>
        <w:ind w:firstLine="677"/>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default" w:ascii="Times New Roman" w:hAnsi="Times New Roman" w:eastAsia="宋体" w:cs="Times New Roman"/>
          <w:snapToGrid w:val="0"/>
          <w:color w:val="000000"/>
          <w:spacing w:val="0"/>
          <w:w w:val="100"/>
          <w:kern w:val="0"/>
          <w:position w:val="0"/>
          <w:sz w:val="28"/>
          <w:szCs w:val="28"/>
          <w:lang w:val="en-US" w:eastAsia="zh-CN"/>
        </w:rPr>
        <w:t>5、预留费用</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default" w:ascii="Times New Roman" w:hAnsi="Times New Roman" w:eastAsia="宋体" w:cs="Times New Roman"/>
          <w:snapToGrid w:val="0"/>
          <w:color w:val="000000"/>
          <w:spacing w:val="0"/>
          <w:w w:val="100"/>
          <w:kern w:val="0"/>
          <w:position w:val="0"/>
          <w:sz w:val="28"/>
          <w:szCs w:val="28"/>
          <w:lang w:val="en-US" w:eastAsia="zh-CN"/>
        </w:rPr>
        <w:t>包括拆迁补偿费（对房屋拆迁、林木及青苗损毁等所发生的适当补偿费用）、房屋受损补偿预留费用、地灾隐患有可能发生预留的费用、耕地占补平衡等预留费用；采取适量一次补偿方式编制预算。</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eastAsia" w:ascii="Times New Roman" w:hAnsi="Times New Roman" w:eastAsia="宋体" w:cs="Times New Roman"/>
          <w:snapToGrid w:val="0"/>
          <w:color w:val="000000"/>
          <w:spacing w:val="0"/>
          <w:w w:val="100"/>
          <w:kern w:val="0"/>
          <w:position w:val="0"/>
          <w:sz w:val="28"/>
          <w:szCs w:val="28"/>
          <w:lang w:val="en-US" w:eastAsia="zh-CN"/>
        </w:rPr>
        <w:t>（1）拆迁补偿费</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both"/>
        <w:textAlignment w:val="baseline"/>
        <w:rPr>
          <w:rFonts w:hint="eastAsia" w:ascii="Times New Roman" w:hAnsi="Times New Roman" w:eastAsia="宋体" w:cs="Times New Roman"/>
          <w:snapToGrid w:val="0"/>
          <w:color w:val="000000"/>
          <w:spacing w:val="0"/>
          <w:w w:val="100"/>
          <w:kern w:val="0"/>
          <w:position w:val="0"/>
          <w:sz w:val="28"/>
          <w:szCs w:val="28"/>
          <w:lang w:val="en-US" w:eastAsia="zh-CN"/>
        </w:rPr>
      </w:pPr>
      <w:r>
        <w:rPr>
          <w:rFonts w:hint="default" w:ascii="Times New Roman" w:hAnsi="Times New Roman" w:eastAsia="宋体" w:cs="Times New Roman"/>
          <w:snapToGrid w:val="0"/>
          <w:color w:val="000000"/>
          <w:spacing w:val="0"/>
          <w:w w:val="100"/>
          <w:kern w:val="0"/>
          <w:position w:val="0"/>
          <w:sz w:val="28"/>
          <w:szCs w:val="28"/>
          <w:lang w:val="en-US" w:eastAsia="zh-CN"/>
        </w:rPr>
        <w:t>本项目涉及***栋房屋拆迁安置，矿山企业已与涉及</w:t>
      </w:r>
      <w:r>
        <w:rPr>
          <w:rFonts w:hint="eastAsia" w:ascii="Times New Roman" w:hAnsi="Times New Roman" w:eastAsia="宋体" w:cs="Times New Roman"/>
          <w:snapToGrid w:val="0"/>
          <w:color w:val="000000"/>
          <w:spacing w:val="0"/>
          <w:w w:val="100"/>
          <w:kern w:val="0"/>
          <w:position w:val="0"/>
          <w:sz w:val="28"/>
          <w:szCs w:val="28"/>
          <w:lang w:val="en-US" w:eastAsia="zh-CN"/>
        </w:rPr>
        <w:t>农户</w:t>
      </w:r>
      <w:r>
        <w:rPr>
          <w:rFonts w:hint="default" w:ascii="Times New Roman" w:hAnsi="Times New Roman" w:eastAsia="宋体" w:cs="Times New Roman"/>
          <w:snapToGrid w:val="0"/>
          <w:color w:val="000000"/>
          <w:spacing w:val="0"/>
          <w:w w:val="100"/>
          <w:kern w:val="0"/>
          <w:position w:val="0"/>
          <w:sz w:val="28"/>
          <w:szCs w:val="28"/>
          <w:lang w:val="en-US" w:eastAsia="zh-CN"/>
        </w:rPr>
        <w:t>签订了房屋拆迁补偿安置协议，后期将按协议进行。</w:t>
      </w:r>
      <w:r>
        <w:rPr>
          <w:rFonts w:hint="eastAsia" w:ascii="Times New Roman" w:hAnsi="Times New Roman" w:eastAsia="宋体" w:cs="Times New Roman"/>
          <w:snapToGrid w:val="0"/>
          <w:color w:val="000000"/>
          <w:spacing w:val="0"/>
          <w:w w:val="100"/>
          <w:kern w:val="0"/>
          <w:position w:val="0"/>
          <w:sz w:val="28"/>
          <w:szCs w:val="28"/>
          <w:lang w:val="en-US" w:eastAsia="zh-CN"/>
        </w:rPr>
        <w:t>本项目不另设拆迁补偿费用。</w:t>
      </w:r>
    </w:p>
    <w:p>
      <w:pPr>
        <w:keepNext w:val="0"/>
        <w:keepLines w:val="0"/>
        <w:pageBreakBefore w:val="0"/>
        <w:widowControl/>
        <w:numPr>
          <w:ilvl w:val="0"/>
          <w:numId w:val="6"/>
        </w:numPr>
        <w:kinsoku/>
        <w:wordWrap/>
        <w:overflowPunct/>
        <w:topLinePunct/>
        <w:autoSpaceDE w:val="0"/>
        <w:autoSpaceDN w:val="0"/>
        <w:bidi w:val="0"/>
        <w:adjustRightInd w:val="0"/>
        <w:snapToGrid w:val="0"/>
        <w:spacing w:line="360" w:lineRule="auto"/>
        <w:ind w:left="0" w:firstLine="560" w:firstLineChars="200"/>
        <w:jc w:val="both"/>
        <w:textAlignment w:val="baseline"/>
        <w:rPr>
          <w:rFonts w:hint="eastAsia" w:ascii="Times New Roman" w:hAnsi="Times New Roman" w:eastAsia="宋体" w:cs="Times New Roman"/>
          <w:snapToGrid w:val="0"/>
          <w:color w:val="000000"/>
          <w:spacing w:val="0"/>
          <w:w w:val="100"/>
          <w:kern w:val="0"/>
          <w:position w:val="0"/>
          <w:sz w:val="28"/>
          <w:szCs w:val="28"/>
          <w:lang w:val="en-US" w:eastAsia="zh-CN"/>
        </w:rPr>
      </w:pPr>
      <w:r>
        <w:rPr>
          <w:rFonts w:hint="eastAsia" w:ascii="Times New Roman" w:hAnsi="Times New Roman" w:eastAsia="宋体" w:cs="Times New Roman"/>
          <w:snapToGrid w:val="0"/>
          <w:color w:val="000000"/>
          <w:spacing w:val="0"/>
          <w:w w:val="100"/>
          <w:kern w:val="0"/>
          <w:position w:val="0"/>
          <w:sz w:val="28"/>
          <w:szCs w:val="28"/>
          <w:lang w:val="en-US" w:eastAsia="zh-CN"/>
        </w:rPr>
        <w:t>地灾隐患预留费用</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both"/>
        <w:textAlignment w:val="baseline"/>
        <w:rPr>
          <w:rFonts w:hint="eastAsia" w:ascii="Times New Roman" w:hAnsi="Times New Roman" w:eastAsia="宋体" w:cs="Times New Roman"/>
          <w:snapToGrid w:val="0"/>
          <w:color w:val="000000"/>
          <w:spacing w:val="0"/>
          <w:w w:val="100"/>
          <w:kern w:val="0"/>
          <w:position w:val="0"/>
          <w:sz w:val="28"/>
          <w:szCs w:val="28"/>
          <w:lang w:val="en-US" w:eastAsia="zh-CN"/>
        </w:rPr>
      </w:pPr>
      <w:r>
        <w:rPr>
          <w:rFonts w:hint="eastAsia" w:ascii="Times New Roman" w:hAnsi="Times New Roman" w:eastAsia="宋体" w:cs="Times New Roman"/>
          <w:snapToGrid w:val="0"/>
          <w:color w:val="000000"/>
          <w:spacing w:val="0"/>
          <w:w w:val="100"/>
          <w:kern w:val="0"/>
          <w:position w:val="0"/>
          <w:sz w:val="28"/>
          <w:szCs w:val="28"/>
          <w:lang w:val="en-US" w:eastAsia="zh-CN"/>
        </w:rPr>
        <w:t>因露采场边坡表土层、全风化层稳定性差，需增加边坡整形和边坡挂网、局部不稳定边坡的拦挡工程等措施，预留地灾防治工程费用。具体工程措施根据地灾防治实际需求实施，初步估算预留边坡地灾防治工程费用约***万元。</w:t>
      </w:r>
    </w:p>
    <w:p>
      <w:pPr>
        <w:keepNext w:val="0"/>
        <w:keepLines w:val="0"/>
        <w:pageBreakBefore w:val="0"/>
        <w:widowControl/>
        <w:numPr>
          <w:ilvl w:val="0"/>
          <w:numId w:val="6"/>
        </w:numPr>
        <w:kinsoku/>
        <w:wordWrap/>
        <w:overflowPunct/>
        <w:topLinePunct/>
        <w:autoSpaceDE w:val="0"/>
        <w:autoSpaceDN w:val="0"/>
        <w:bidi w:val="0"/>
        <w:adjustRightInd w:val="0"/>
        <w:snapToGrid w:val="0"/>
        <w:spacing w:line="360" w:lineRule="auto"/>
        <w:ind w:left="0" w:firstLine="560" w:firstLineChars="200"/>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eastAsia" w:ascii="Times New Roman" w:hAnsi="Times New Roman" w:eastAsia="宋体" w:cs="Times New Roman"/>
          <w:snapToGrid w:val="0"/>
          <w:color w:val="000000"/>
          <w:spacing w:val="0"/>
          <w:w w:val="100"/>
          <w:kern w:val="0"/>
          <w:position w:val="0"/>
          <w:sz w:val="28"/>
          <w:szCs w:val="28"/>
          <w:lang w:val="en-US" w:eastAsia="zh-CN"/>
        </w:rPr>
        <w:t>耕地补充费用</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both"/>
        <w:textAlignment w:val="baseline"/>
        <w:rPr>
          <w:rFonts w:hint="eastAsia" w:ascii="Times New Roman" w:hAnsi="Times New Roman" w:eastAsia="宋体" w:cs="Times New Roman"/>
          <w:snapToGrid w:val="0"/>
          <w:color w:val="000000"/>
          <w:spacing w:val="0"/>
          <w:w w:val="100"/>
          <w:kern w:val="0"/>
          <w:position w:val="0"/>
          <w:sz w:val="28"/>
          <w:szCs w:val="28"/>
          <w:lang w:val="en-US" w:eastAsia="zh-CN"/>
        </w:rPr>
      </w:pPr>
      <w:r>
        <w:rPr>
          <w:rFonts w:hint="eastAsia" w:ascii="Times New Roman" w:hAnsi="Times New Roman" w:eastAsia="宋体" w:cs="Times New Roman"/>
          <w:snapToGrid w:val="0"/>
          <w:color w:val="000000"/>
          <w:spacing w:val="0"/>
          <w:w w:val="100"/>
          <w:kern w:val="0"/>
          <w:position w:val="0"/>
          <w:sz w:val="28"/>
          <w:szCs w:val="28"/>
          <w:lang w:val="en-US" w:eastAsia="zh-CN"/>
        </w:rPr>
        <w:t>项目占用耕地***公顷（其中矿山道路拟占用水田***公顷、露采场拟占用水田***公顷）。拟占用耕地全部为水田，其中***等地***公顷、***等地***公顷、***等地***公顷、***等地***公顷。</w:t>
      </w:r>
      <w:r>
        <w:rPr>
          <w:rFonts w:hint="default" w:ascii="Times New Roman" w:hAnsi="Times New Roman" w:eastAsia="宋体" w:cs="Times New Roman"/>
          <w:snapToGrid w:val="0"/>
          <w:color w:val="000000"/>
          <w:spacing w:val="0"/>
          <w:w w:val="100"/>
          <w:kern w:val="0"/>
          <w:position w:val="0"/>
          <w:sz w:val="28"/>
          <w:szCs w:val="28"/>
          <w:lang w:val="en-US" w:eastAsia="zh-CN"/>
        </w:rPr>
        <w:t>根据《湖南省人民政府办公厅关于印发</w:t>
      </w:r>
      <w:r>
        <w:rPr>
          <w:rFonts w:hint="eastAsia" w:ascii="Times New Roman" w:hAnsi="Times New Roman" w:eastAsia="宋体" w:cs="Times New Roman"/>
          <w:snapToGrid w:val="0"/>
          <w:color w:val="000000"/>
          <w:spacing w:val="0"/>
          <w:w w:val="100"/>
          <w:kern w:val="0"/>
          <w:position w:val="0"/>
          <w:sz w:val="28"/>
          <w:szCs w:val="28"/>
          <w:lang w:val="en-US" w:eastAsia="zh-CN"/>
        </w:rPr>
        <w:t>〈</w:t>
      </w:r>
      <w:r>
        <w:rPr>
          <w:rFonts w:hint="default" w:ascii="Times New Roman" w:hAnsi="Times New Roman" w:eastAsia="宋体" w:cs="Times New Roman"/>
          <w:snapToGrid w:val="0"/>
          <w:color w:val="000000"/>
          <w:spacing w:val="0"/>
          <w:w w:val="100"/>
          <w:kern w:val="0"/>
          <w:position w:val="0"/>
          <w:sz w:val="28"/>
          <w:szCs w:val="28"/>
          <w:lang w:val="en-US" w:eastAsia="zh-CN"/>
        </w:rPr>
        <w:t>湖南省耕地开垦费征收使用管理办法</w:t>
      </w:r>
      <w:r>
        <w:rPr>
          <w:rFonts w:hint="eastAsia" w:ascii="Times New Roman" w:hAnsi="Times New Roman" w:eastAsia="宋体" w:cs="Times New Roman"/>
          <w:snapToGrid w:val="0"/>
          <w:color w:val="000000"/>
          <w:spacing w:val="0"/>
          <w:w w:val="100"/>
          <w:kern w:val="0"/>
          <w:position w:val="0"/>
          <w:sz w:val="28"/>
          <w:szCs w:val="28"/>
          <w:lang w:val="en-US" w:eastAsia="zh-CN"/>
        </w:rPr>
        <w:t>〉</w:t>
      </w:r>
      <w:r>
        <w:rPr>
          <w:rFonts w:hint="default" w:ascii="Times New Roman" w:hAnsi="Times New Roman" w:eastAsia="宋体" w:cs="Times New Roman"/>
          <w:snapToGrid w:val="0"/>
          <w:color w:val="000000"/>
          <w:spacing w:val="0"/>
          <w:w w:val="100"/>
          <w:kern w:val="0"/>
          <w:position w:val="0"/>
          <w:sz w:val="28"/>
          <w:szCs w:val="28"/>
          <w:lang w:val="en-US" w:eastAsia="zh-CN"/>
        </w:rPr>
        <w:t>的通知》（湘政办发〔2019〕38号），</w:t>
      </w:r>
      <w:r>
        <w:rPr>
          <w:rFonts w:hint="eastAsia" w:ascii="Times New Roman" w:hAnsi="Times New Roman" w:eastAsia="宋体" w:cs="Times New Roman"/>
          <w:snapToGrid w:val="0"/>
          <w:color w:val="000000"/>
          <w:spacing w:val="0"/>
          <w:w w:val="100"/>
          <w:kern w:val="0"/>
          <w:position w:val="0"/>
          <w:sz w:val="28"/>
          <w:szCs w:val="28"/>
          <w:lang w:val="en-US" w:eastAsia="zh-CN"/>
        </w:rPr>
        <w:t>核算耕地补充费用，计算如下：</w:t>
      </w:r>
    </w:p>
    <w:p>
      <w:pPr>
        <w:spacing w:line="0" w:lineRule="atLeast"/>
        <w:ind w:firstLine="482" w:firstLineChars="200"/>
        <w:jc w:val="center"/>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表5-</w:t>
      </w:r>
      <w:r>
        <w:rPr>
          <w:rFonts w:hint="eastAsia" w:ascii="Times New Roman" w:hAnsi="Times New Roman" w:eastAsia="宋体" w:cs="Times New Roman"/>
          <w:b/>
          <w:sz w:val="24"/>
          <w:szCs w:val="24"/>
          <w:lang w:val="en-US" w:eastAsia="zh-CN"/>
        </w:rPr>
        <w:t>4 耕地占补平衡费用计算</w:t>
      </w:r>
      <w:r>
        <w:rPr>
          <w:rFonts w:hint="default" w:ascii="Times New Roman" w:hAnsi="Times New Roman" w:eastAsia="宋体" w:cs="Times New Roman"/>
          <w:b/>
          <w:sz w:val="24"/>
          <w:szCs w:val="24"/>
          <w:lang w:val="en-US" w:eastAsia="zh-CN"/>
        </w:rPr>
        <w:t>表</w:t>
      </w:r>
    </w:p>
    <w:tbl>
      <w:tblPr>
        <w:tblStyle w:val="12"/>
        <w:tblW w:w="4999" w:type="pct"/>
        <w:tblInd w:w="0" w:type="dxa"/>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1117"/>
        <w:gridCol w:w="1481"/>
        <w:gridCol w:w="1118"/>
        <w:gridCol w:w="1481"/>
        <w:gridCol w:w="3323"/>
      </w:tblGrid>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序号</w:t>
            </w:r>
          </w:p>
        </w:tc>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占用水田面积</w:t>
            </w:r>
          </w:p>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ascii="Times New Roman" w:hAnsi="Times New Roman" w:eastAsia="宋体" w:cs="Times New Roman"/>
                <w:b/>
                <w:bCs/>
                <w:snapToGrid w:val="0"/>
                <w:color w:val="000000"/>
                <w:spacing w:val="0"/>
                <w:w w:val="100"/>
                <w:kern w:val="0"/>
                <w:position w:val="0"/>
                <w:sz w:val="21"/>
                <w:szCs w:val="21"/>
                <w:lang w:val="en-US" w:eastAsia="zh-CN"/>
              </w:rPr>
              <w:t>（公顷）</w:t>
            </w:r>
          </w:p>
        </w:tc>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等别</w:t>
            </w:r>
          </w:p>
        </w:tc>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eastAsia" w:ascii="Times New Roman" w:hAnsi="Times New Roman" w:eastAsia="宋体" w:cs="Times New Roman"/>
                <w:b/>
                <w:bCs/>
                <w:snapToGrid w:val="0"/>
                <w:color w:val="000000"/>
                <w:spacing w:val="0"/>
                <w:w w:val="100"/>
                <w:kern w:val="0"/>
                <w:position w:val="0"/>
                <w:sz w:val="21"/>
                <w:szCs w:val="21"/>
                <w:lang w:val="en-US" w:eastAsia="zh-CN"/>
              </w:rPr>
            </w:pPr>
            <w:r>
              <w:rPr>
                <w:rFonts w:hint="eastAsia" w:ascii="Times New Roman" w:hAnsi="Times New Roman" w:eastAsia="宋体" w:cs="Times New Roman"/>
                <w:b/>
                <w:bCs/>
                <w:snapToGrid w:val="0"/>
                <w:color w:val="000000"/>
                <w:spacing w:val="0"/>
                <w:w w:val="100"/>
                <w:kern w:val="0"/>
                <w:position w:val="0"/>
                <w:sz w:val="21"/>
                <w:szCs w:val="21"/>
                <w:lang w:val="en-US" w:eastAsia="zh-CN"/>
              </w:rPr>
              <w:t>占补平衡费用</w:t>
            </w:r>
          </w:p>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ascii="Times New Roman" w:hAnsi="Times New Roman" w:eastAsia="宋体" w:cs="Times New Roman"/>
                <w:b/>
                <w:bCs/>
                <w:snapToGrid w:val="0"/>
                <w:color w:val="000000"/>
                <w:spacing w:val="0"/>
                <w:w w:val="100"/>
                <w:kern w:val="0"/>
                <w:position w:val="0"/>
                <w:sz w:val="21"/>
                <w:szCs w:val="21"/>
                <w:lang w:val="en-US" w:eastAsia="zh-CN"/>
              </w:rPr>
              <w:t>（万元）</w:t>
            </w:r>
          </w:p>
        </w:tc>
        <w:tc>
          <w:tcPr>
            <w:tcW w:w="2035"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说明</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035"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水田优等地，按***万元/亩</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035" w:type="pct"/>
            <w:vMerge w:val="restar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水田高等地，***万元/亩</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w:t>
            </w:r>
          </w:p>
        </w:tc>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035" w:type="pct"/>
            <w:vMerge w:val="continue"/>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w:t>
            </w:r>
          </w:p>
        </w:tc>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035" w:type="pct"/>
            <w:vMerge w:val="continue"/>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合计</w:t>
            </w:r>
          </w:p>
        </w:tc>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p>
        </w:tc>
        <w:tc>
          <w:tcPr>
            <w:tcW w:w="74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2035"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p>
        </w:tc>
      </w:tr>
    </w:tbl>
    <w:p>
      <w:pPr>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br w:type="page"/>
      </w:r>
    </w:p>
    <w:p>
      <w:pPr>
        <w:spacing w:line="360" w:lineRule="auto"/>
        <w:ind w:firstLine="562" w:firstLineChars="2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（四）矿山生态修复工程估算结果</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2" w:firstLineChars="200"/>
        <w:jc w:val="both"/>
        <w:textAlignment w:val="baseline"/>
        <w:rPr>
          <w:rFonts w:hint="default" w:ascii="Times New Roman" w:hAnsi="Times New Roman" w:eastAsia="宋体" w:cs="Times New Roman"/>
          <w:b/>
          <w:bCs/>
          <w:snapToGrid w:val="0"/>
          <w:color w:val="000000"/>
          <w:spacing w:val="0"/>
          <w:w w:val="100"/>
          <w:kern w:val="0"/>
          <w:position w:val="0"/>
          <w:sz w:val="28"/>
          <w:szCs w:val="28"/>
          <w:lang w:val="en-US" w:eastAsia="zh-CN"/>
        </w:rPr>
      </w:pPr>
      <w:r>
        <w:rPr>
          <w:rFonts w:hint="default" w:ascii="Times New Roman" w:hAnsi="Times New Roman" w:eastAsia="宋体" w:cs="Times New Roman"/>
          <w:b/>
          <w:bCs/>
          <w:snapToGrid w:val="0"/>
          <w:color w:val="000000"/>
          <w:spacing w:val="0"/>
          <w:w w:val="100"/>
          <w:kern w:val="0"/>
          <w:position w:val="0"/>
          <w:sz w:val="28"/>
          <w:szCs w:val="28"/>
          <w:lang w:val="en-US" w:eastAsia="zh-CN"/>
        </w:rPr>
        <w:t>1、分项工程施工费单价</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default" w:ascii="Times New Roman" w:hAnsi="Times New Roman" w:eastAsia="宋体" w:cs="Times New Roman"/>
          <w:snapToGrid w:val="0"/>
          <w:color w:val="000000"/>
          <w:spacing w:val="0"/>
          <w:w w:val="100"/>
          <w:kern w:val="0"/>
          <w:position w:val="0"/>
          <w:sz w:val="28"/>
          <w:szCs w:val="28"/>
          <w:lang w:val="en-US" w:eastAsia="zh-CN"/>
        </w:rPr>
        <w:t>以各单位分项工程为基础，在计算人工、用材量、施工机械台时量后，分别按人工预算单价、材料估算单价、施工机械台时费计算出直接工程费，再根据不同工程类别措施费费率、间接费费率、利润率和税金率，计算出各分项工程施工费单价。</w:t>
      </w:r>
    </w:p>
    <w:p>
      <w:pPr>
        <w:keepNext w:val="0"/>
        <w:keepLines w:val="0"/>
        <w:pageBreakBefore w:val="0"/>
        <w:widowControl/>
        <w:kinsoku/>
        <w:wordWrap/>
        <w:overflowPunct/>
        <w:topLinePunct/>
        <w:autoSpaceDE w:val="0"/>
        <w:autoSpaceDN w:val="0"/>
        <w:bidi w:val="0"/>
        <w:adjustRightInd w:val="0"/>
        <w:snapToGrid w:val="0"/>
        <w:spacing w:line="360" w:lineRule="auto"/>
        <w:ind w:left="0" w:firstLine="560" w:firstLineChars="200"/>
        <w:jc w:val="both"/>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0" w:lineRule="atLeast"/>
        <w:ind w:firstLine="482" w:firstLineChars="200"/>
        <w:jc w:val="center"/>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表5-</w:t>
      </w:r>
      <w:r>
        <w:rPr>
          <w:rFonts w:hint="eastAsia" w:ascii="Times New Roman" w:hAnsi="Times New Roman" w:eastAsia="宋体" w:cs="Times New Roman"/>
          <w:b/>
          <w:sz w:val="24"/>
          <w:szCs w:val="24"/>
          <w:lang w:val="en-US" w:eastAsia="zh-CN"/>
        </w:rPr>
        <w:t>5</w:t>
      </w:r>
      <w:r>
        <w:rPr>
          <w:rFonts w:hint="default" w:ascii="Times New Roman" w:hAnsi="Times New Roman" w:eastAsia="宋体" w:cs="Times New Roman"/>
          <w:b/>
          <w:sz w:val="24"/>
          <w:szCs w:val="24"/>
          <w:lang w:val="en-US" w:eastAsia="zh-CN"/>
        </w:rPr>
        <w:t>分项工程施工单价估算一览表</w:t>
      </w:r>
    </w:p>
    <w:p>
      <w:pPr>
        <w:spacing w:line="0" w:lineRule="atLeast"/>
        <w:ind w:firstLine="422" w:firstLineChars="200"/>
        <w:jc w:val="right"/>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费用单位：元</w:t>
      </w:r>
    </w:p>
    <w:tbl>
      <w:tblPr>
        <w:tblStyle w:val="12"/>
        <w:tblW w:w="5000" w:type="pct"/>
        <w:tblInd w:w="0" w:type="dxa"/>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93"/>
        <w:gridCol w:w="681"/>
        <w:gridCol w:w="1605"/>
        <w:gridCol w:w="572"/>
        <w:gridCol w:w="925"/>
        <w:gridCol w:w="925"/>
        <w:gridCol w:w="1019"/>
        <w:gridCol w:w="1019"/>
        <w:gridCol w:w="829"/>
        <w:gridCol w:w="1025"/>
        <w:gridCol w:w="925"/>
        <w:gridCol w:w="829"/>
        <w:gridCol w:w="545"/>
        <w:gridCol w:w="736"/>
        <w:gridCol w:w="926"/>
        <w:gridCol w:w="1020"/>
      </w:tblGrid>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blHeader/>
        </w:trPr>
        <w:tc>
          <w:tcPr>
            <w:tcW w:w="209" w:type="pct"/>
            <w:vMerge w:val="restar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序号</w:t>
            </w:r>
          </w:p>
        </w:tc>
        <w:tc>
          <w:tcPr>
            <w:tcW w:w="240" w:type="pct"/>
            <w:vMerge w:val="restar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定额编号</w:t>
            </w:r>
          </w:p>
        </w:tc>
        <w:tc>
          <w:tcPr>
            <w:tcW w:w="566" w:type="pct"/>
            <w:vMerge w:val="restar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单项名称</w:t>
            </w:r>
          </w:p>
        </w:tc>
        <w:tc>
          <w:tcPr>
            <w:tcW w:w="201" w:type="pct"/>
            <w:vMerge w:val="restar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单位</w:t>
            </w:r>
          </w:p>
        </w:tc>
        <w:tc>
          <w:tcPr>
            <w:tcW w:w="2025" w:type="pct"/>
            <w:gridSpan w:val="6"/>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直接费</w:t>
            </w:r>
          </w:p>
        </w:tc>
        <w:tc>
          <w:tcPr>
            <w:tcW w:w="326" w:type="pct"/>
            <w:vMerge w:val="restar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间接费</w:t>
            </w:r>
          </w:p>
        </w:tc>
        <w:tc>
          <w:tcPr>
            <w:tcW w:w="292" w:type="pct"/>
            <w:vMerge w:val="restar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利润</w:t>
            </w:r>
          </w:p>
        </w:tc>
        <w:tc>
          <w:tcPr>
            <w:tcW w:w="192" w:type="pct"/>
            <w:vMerge w:val="restar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材料</w:t>
            </w:r>
            <w:r>
              <w:rPr>
                <w:rFonts w:hint="default" w:ascii="Times New Roman" w:hAnsi="Times New Roman" w:eastAsia="宋体" w:cs="Times New Roman"/>
                <w:b/>
                <w:bCs/>
                <w:snapToGrid w:val="0"/>
                <w:color w:val="000000"/>
                <w:spacing w:val="0"/>
                <w:w w:val="100"/>
                <w:kern w:val="0"/>
                <w:position w:val="0"/>
                <w:sz w:val="21"/>
                <w:szCs w:val="21"/>
                <w:lang w:val="en-US" w:eastAsia="zh-CN"/>
              </w:rPr>
              <w:br w:type="textWrapping"/>
            </w:r>
            <w:r>
              <w:rPr>
                <w:rFonts w:hint="default" w:ascii="Times New Roman" w:hAnsi="Times New Roman" w:eastAsia="宋体" w:cs="Times New Roman"/>
                <w:b/>
                <w:bCs/>
                <w:snapToGrid w:val="0"/>
                <w:color w:val="000000"/>
                <w:spacing w:val="0"/>
                <w:w w:val="100"/>
                <w:kern w:val="0"/>
                <w:position w:val="0"/>
                <w:sz w:val="21"/>
                <w:szCs w:val="21"/>
                <w:lang w:val="en-US" w:eastAsia="zh-CN"/>
              </w:rPr>
              <w:t>价差</w:t>
            </w:r>
          </w:p>
        </w:tc>
        <w:tc>
          <w:tcPr>
            <w:tcW w:w="259" w:type="pct"/>
            <w:vMerge w:val="restar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未计价</w:t>
            </w:r>
            <w:r>
              <w:rPr>
                <w:rFonts w:hint="default" w:ascii="Times New Roman" w:hAnsi="Times New Roman" w:eastAsia="宋体" w:cs="Times New Roman"/>
                <w:b/>
                <w:bCs/>
                <w:snapToGrid w:val="0"/>
                <w:color w:val="000000"/>
                <w:spacing w:val="0"/>
                <w:w w:val="100"/>
                <w:kern w:val="0"/>
                <w:position w:val="0"/>
                <w:sz w:val="21"/>
                <w:szCs w:val="21"/>
                <w:lang w:val="en-US" w:eastAsia="zh-CN"/>
              </w:rPr>
              <w:br w:type="textWrapping"/>
            </w:r>
            <w:r>
              <w:rPr>
                <w:rFonts w:hint="default" w:ascii="Times New Roman" w:hAnsi="Times New Roman" w:eastAsia="宋体" w:cs="Times New Roman"/>
                <w:b/>
                <w:bCs/>
                <w:snapToGrid w:val="0"/>
                <w:color w:val="000000"/>
                <w:spacing w:val="0"/>
                <w:w w:val="100"/>
                <w:kern w:val="0"/>
                <w:position w:val="0"/>
                <w:sz w:val="21"/>
                <w:szCs w:val="21"/>
                <w:lang w:val="en-US" w:eastAsia="zh-CN"/>
              </w:rPr>
              <w:t>材料费</w:t>
            </w:r>
          </w:p>
        </w:tc>
        <w:tc>
          <w:tcPr>
            <w:tcW w:w="326" w:type="pct"/>
            <w:vMerge w:val="restar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税金</w:t>
            </w:r>
          </w:p>
        </w:tc>
        <w:tc>
          <w:tcPr>
            <w:tcW w:w="359" w:type="pct"/>
            <w:vMerge w:val="restar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综合</w:t>
            </w:r>
            <w:r>
              <w:rPr>
                <w:rFonts w:hint="default" w:ascii="Times New Roman" w:hAnsi="Times New Roman" w:eastAsia="宋体" w:cs="Times New Roman"/>
                <w:b/>
                <w:bCs/>
                <w:snapToGrid w:val="0"/>
                <w:color w:val="000000"/>
                <w:spacing w:val="0"/>
                <w:w w:val="100"/>
                <w:kern w:val="0"/>
                <w:position w:val="0"/>
                <w:sz w:val="21"/>
                <w:szCs w:val="21"/>
                <w:lang w:val="en-US" w:eastAsia="zh-CN"/>
              </w:rPr>
              <w:br w:type="textWrapping"/>
            </w:r>
            <w:r>
              <w:rPr>
                <w:rFonts w:hint="default" w:ascii="Times New Roman" w:hAnsi="Times New Roman" w:eastAsia="宋体" w:cs="Times New Roman"/>
                <w:b/>
                <w:bCs/>
                <w:snapToGrid w:val="0"/>
                <w:color w:val="000000"/>
                <w:spacing w:val="0"/>
                <w:w w:val="100"/>
                <w:kern w:val="0"/>
                <w:position w:val="0"/>
                <w:sz w:val="21"/>
                <w:szCs w:val="21"/>
                <w:lang w:val="en-US" w:eastAsia="zh-CN"/>
              </w:rPr>
              <w:t>单价</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blHeader/>
        </w:trPr>
        <w:tc>
          <w:tcPr>
            <w:tcW w:w="209" w:type="pct"/>
            <w:vMerge w:val="continue"/>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40" w:type="pct"/>
            <w:vMerge w:val="continue"/>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vMerge w:val="continue"/>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1" w:type="pct"/>
            <w:vMerge w:val="continue"/>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人工费</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材料费</w:t>
            </w:r>
          </w:p>
        </w:tc>
        <w:tc>
          <w:tcPr>
            <w:tcW w:w="359"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机  械</w:t>
            </w:r>
            <w:r>
              <w:rPr>
                <w:rFonts w:hint="default" w:ascii="Times New Roman" w:hAnsi="Times New Roman" w:eastAsia="宋体" w:cs="Times New Roman"/>
                <w:b/>
                <w:bCs/>
                <w:snapToGrid w:val="0"/>
                <w:color w:val="000000"/>
                <w:spacing w:val="0"/>
                <w:w w:val="100"/>
                <w:kern w:val="0"/>
                <w:position w:val="0"/>
                <w:sz w:val="21"/>
                <w:szCs w:val="21"/>
                <w:lang w:val="en-US" w:eastAsia="zh-CN"/>
              </w:rPr>
              <w:br w:type="textWrapping"/>
            </w:r>
            <w:r>
              <w:rPr>
                <w:rFonts w:hint="default" w:ascii="Times New Roman" w:hAnsi="Times New Roman" w:eastAsia="宋体" w:cs="Times New Roman"/>
                <w:b/>
                <w:bCs/>
                <w:snapToGrid w:val="0"/>
                <w:color w:val="000000"/>
                <w:spacing w:val="0"/>
                <w:w w:val="100"/>
                <w:kern w:val="0"/>
                <w:position w:val="0"/>
                <w:sz w:val="21"/>
                <w:szCs w:val="21"/>
                <w:lang w:val="en-US" w:eastAsia="zh-CN"/>
              </w:rPr>
              <w:t>使用费</w:t>
            </w:r>
          </w:p>
        </w:tc>
        <w:tc>
          <w:tcPr>
            <w:tcW w:w="359"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直  接</w:t>
            </w:r>
            <w:r>
              <w:rPr>
                <w:rFonts w:hint="default" w:ascii="Times New Roman" w:hAnsi="Times New Roman" w:eastAsia="宋体" w:cs="Times New Roman"/>
                <w:b/>
                <w:bCs/>
                <w:snapToGrid w:val="0"/>
                <w:color w:val="000000"/>
                <w:spacing w:val="0"/>
                <w:w w:val="100"/>
                <w:kern w:val="0"/>
                <w:position w:val="0"/>
                <w:sz w:val="21"/>
                <w:szCs w:val="21"/>
                <w:lang w:val="en-US" w:eastAsia="zh-CN"/>
              </w:rPr>
              <w:br w:type="textWrapping"/>
            </w:r>
            <w:r>
              <w:rPr>
                <w:rFonts w:hint="default" w:ascii="Times New Roman" w:hAnsi="Times New Roman" w:eastAsia="宋体" w:cs="Times New Roman"/>
                <w:b/>
                <w:bCs/>
                <w:snapToGrid w:val="0"/>
                <w:color w:val="000000"/>
                <w:spacing w:val="0"/>
                <w:w w:val="100"/>
                <w:kern w:val="0"/>
                <w:position w:val="0"/>
                <w:sz w:val="21"/>
                <w:szCs w:val="21"/>
                <w:lang w:val="en-US" w:eastAsia="zh-CN"/>
              </w:rPr>
              <w:t>工程费</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措施费</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合计</w:t>
            </w:r>
          </w:p>
        </w:tc>
        <w:tc>
          <w:tcPr>
            <w:tcW w:w="326" w:type="pct"/>
            <w:vMerge w:val="continue"/>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92" w:type="pct"/>
            <w:vMerge w:val="continue"/>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92" w:type="pct"/>
            <w:vMerge w:val="continue"/>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59" w:type="pct"/>
            <w:vMerge w:val="continue"/>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326" w:type="pct"/>
            <w:vMerge w:val="continue"/>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359" w:type="pct"/>
            <w:vMerge w:val="continue"/>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一</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生态保护保育工程</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(一)</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宣传警示牌</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宣传警示牌</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二</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生态修复工程</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(一)</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地形地貌景观修复工程</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矿山公路绿化</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90009</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栽植乔木（裸根胸径在8cm以内）</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90019</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栽植灌木（冠丛高在150cm以内）</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工业广场绿化</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90009</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栽植乔木（裸根胸径在8cm以内）</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90019</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栽植灌木（冠丛高在150cm以内）</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90032换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草皮散铺~Ⅲ类土</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(二)</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土地复垦与生物多样性恢复工程</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开采台阶复垦</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覆土及平整</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10167</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2.5～2.75m3拖式铲运机铲运土(三类土)  铲运距离200～300m</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7</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10322换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推土机推土(三类土) 推土距离20～30m ~推土机40～55KW</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8</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30011</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干砌块石 挡土墙</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植物工程</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90019</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栽植灌木（冠丛高在150cm以内）</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90018</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栽植灌木（冠丛高在100cm以内）~攀爬植物</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11</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90030</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撒播 不覆土</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终了平台复垦</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覆土及平整</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12</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10169</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2.5～2.75m3拖式铲运机铲运土(三类土)  铲运距离400～500m</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13</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10322换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推土机推土(三类土) 推土距离20～30m ~推土机40～55KW</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植物工程</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14</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90009</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栽植乔木（裸根胸径在8cm以内）</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15</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90019</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栽植灌木（冠丛高在150cm以内）</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16</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90030</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撒播 不覆土</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排土场复垦</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覆土及平整</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17</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10322换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推土机推土(三类土) 推土距离20～30m ~推土机40～55KW</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植物工程</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18</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90009</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栽植乔木（裸根胸径在8cm以内）</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19</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90019</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栽植灌木（冠丛高在150cm以内）</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20</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90030</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撒播 不覆土</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工业广场复垦</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清理、覆土及平整</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21</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40257</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机械拆除无钢筋混凝土</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22</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10251换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2m3挖掘机挖装自卸汽车运土  运距2～3km~自卸汽车15T</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23</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10169</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2.5～2.75m3拖式铲运机铲运土(三类土)  铲运距离400～500m</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24</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10322换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推土机推土(三类土) 推土距离20～30m ~推土机40～55KW</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植物工程</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25</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90009</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栽植乔木（裸根胸径在8cm以内）</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26</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90019</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栽植灌木（冠丛高在150cm以内）</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27</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90030</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撒播 不覆土</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(三)</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水资源水生态修复与改善工程</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截（排）水沟</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环</w:t>
            </w:r>
            <w:r>
              <w:rPr>
                <w:rFonts w:hint="eastAsia" w:ascii="Times New Roman" w:hAnsi="Times New Roman" w:eastAsia="宋体" w:cs="Times New Roman"/>
                <w:snapToGrid w:val="0"/>
                <w:color w:val="000000"/>
                <w:spacing w:val="0"/>
                <w:w w:val="100"/>
                <w:kern w:val="0"/>
                <w:position w:val="0"/>
                <w:sz w:val="21"/>
                <w:szCs w:val="21"/>
                <w:lang w:val="en-US" w:eastAsia="zh-CN"/>
              </w:rPr>
              <w:t>露采场</w:t>
            </w:r>
            <w:r>
              <w:rPr>
                <w:rFonts w:hint="default" w:ascii="Times New Roman" w:hAnsi="Times New Roman" w:eastAsia="宋体" w:cs="Times New Roman"/>
                <w:snapToGrid w:val="0"/>
                <w:color w:val="000000"/>
                <w:spacing w:val="0"/>
                <w:w w:val="100"/>
                <w:kern w:val="0"/>
                <w:position w:val="0"/>
                <w:sz w:val="21"/>
                <w:szCs w:val="21"/>
                <w:lang w:val="en-US" w:eastAsia="zh-CN"/>
              </w:rPr>
              <w:t>截水沟</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28</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10377</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小型挖掘机挖沟渠土方 三类土</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29</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10343</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建筑物土方回填 人工夯实</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30063换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砖砌沟渠~换:砌筑砂浆 M7.5 水泥32.5</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31</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30076换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砌体砂浆抹面 平均厚2cm 立面~换:防水砂浆 1：3</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32</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40097换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现浇混凝土渠道底板~换:纯混凝土C20 2级配 粒径40 水泥32.5 水灰比0.55[40228]人工运混凝土 运距10～20m</w:t>
            </w:r>
            <w:r>
              <w:rPr>
                <w:rFonts w:hint="default" w:ascii="Times New Roman" w:hAnsi="Times New Roman" w:eastAsia="宋体" w:cs="Times New Roman"/>
                <w:snapToGrid w:val="0"/>
                <w:color w:val="000000"/>
                <w:spacing w:val="0"/>
                <w:w w:val="100"/>
                <w:kern w:val="0"/>
                <w:position w:val="0"/>
                <w:sz w:val="21"/>
                <w:szCs w:val="21"/>
                <w:lang w:val="en-US" w:eastAsia="zh-CN"/>
              </w:rPr>
              <w:br w:type="textWrapping"/>
            </w:r>
            <w:r>
              <w:rPr>
                <w:rFonts w:hint="default" w:ascii="Times New Roman" w:hAnsi="Times New Roman" w:eastAsia="宋体" w:cs="Times New Roman"/>
                <w:snapToGrid w:val="0"/>
                <w:color w:val="000000"/>
                <w:spacing w:val="0"/>
                <w:w w:val="100"/>
                <w:kern w:val="0"/>
                <w:position w:val="0"/>
                <w:sz w:val="21"/>
                <w:szCs w:val="21"/>
                <w:lang w:val="en-US" w:eastAsia="zh-CN"/>
              </w:rPr>
              <w:t>[40225]搅拌机拌制混凝土 搅拌出料0.4m3</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33</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40280换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伸缩缝 沥青砂浆 1：3~换:砌筑砂浆 M7.5 水泥32.5</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排土场截水沟</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34</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10377</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小型挖掘机挖沟渠土方 三类土</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35</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10343</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建筑物土方回填 人工夯实</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36</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30063换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砖砌沟渠~换:砌筑砂浆 M7.5 水泥32.5</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37</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30076换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砌体砂浆抹面 平均厚2cm 立面~换:防水砂浆 1：3</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38</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40097换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现浇混凝土渠道底板~换:纯混凝土C20 2级配 粒径40 水泥32.5 水灰比0.55[40228]人工运混凝土 运距10～20m</w:t>
            </w:r>
            <w:r>
              <w:rPr>
                <w:rFonts w:hint="default" w:ascii="Times New Roman" w:hAnsi="Times New Roman" w:eastAsia="宋体" w:cs="Times New Roman"/>
                <w:snapToGrid w:val="0"/>
                <w:color w:val="000000"/>
                <w:spacing w:val="0"/>
                <w:w w:val="100"/>
                <w:kern w:val="0"/>
                <w:position w:val="0"/>
                <w:sz w:val="21"/>
                <w:szCs w:val="21"/>
                <w:lang w:val="en-US" w:eastAsia="zh-CN"/>
              </w:rPr>
              <w:br w:type="textWrapping"/>
            </w:r>
            <w:r>
              <w:rPr>
                <w:rFonts w:hint="default" w:ascii="Times New Roman" w:hAnsi="Times New Roman" w:eastAsia="宋体" w:cs="Times New Roman"/>
                <w:snapToGrid w:val="0"/>
                <w:color w:val="000000"/>
                <w:spacing w:val="0"/>
                <w:w w:val="100"/>
                <w:kern w:val="0"/>
                <w:position w:val="0"/>
                <w:sz w:val="21"/>
                <w:szCs w:val="21"/>
                <w:lang w:val="en-US" w:eastAsia="zh-CN"/>
              </w:rPr>
              <w:t>[40225]搅拌机拌制混凝土 搅拌出料0.4m3</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39</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40280换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伸缩缝 沥青砂浆 1：3~换:砌筑砂浆 M7.5 水泥32.5</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矿山道路截水沟</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10377</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小型挖掘机挖沟渠土方 三类土</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41</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10343</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建筑物土方回填 人工夯实</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42</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30063换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砖砌沟渠~换:砌筑砂浆 M7.5 水泥32.5</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43</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30076换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砌体砂浆抹面 平均厚2cm 立面~换:防水砂浆 1：3</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44</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40097换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现浇混凝土渠道底板~换:纯混凝土C20 2级配 粒径40 水泥32.5 水灰比0.55[40228]人工运混凝土 运距10～20m</w:t>
            </w:r>
            <w:r>
              <w:rPr>
                <w:rFonts w:hint="default" w:ascii="Times New Roman" w:hAnsi="Times New Roman" w:eastAsia="宋体" w:cs="Times New Roman"/>
                <w:snapToGrid w:val="0"/>
                <w:color w:val="000000"/>
                <w:spacing w:val="0"/>
                <w:w w:val="100"/>
                <w:kern w:val="0"/>
                <w:position w:val="0"/>
                <w:sz w:val="21"/>
                <w:szCs w:val="21"/>
                <w:lang w:val="en-US" w:eastAsia="zh-CN"/>
              </w:rPr>
              <w:br w:type="textWrapping"/>
            </w:r>
            <w:r>
              <w:rPr>
                <w:rFonts w:hint="default" w:ascii="Times New Roman" w:hAnsi="Times New Roman" w:eastAsia="宋体" w:cs="Times New Roman"/>
                <w:snapToGrid w:val="0"/>
                <w:color w:val="000000"/>
                <w:spacing w:val="0"/>
                <w:w w:val="100"/>
                <w:kern w:val="0"/>
                <w:position w:val="0"/>
                <w:sz w:val="21"/>
                <w:szCs w:val="21"/>
                <w:lang w:val="en-US" w:eastAsia="zh-CN"/>
              </w:rPr>
              <w:t>[40225]搅拌机拌制混凝土 搅拌出料0.4m3</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45</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40280换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伸缩缝 沥青砂浆 1：3~换:砌筑砂浆 M7.5 水泥32.5</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终了平台截水沟</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46</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10377</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小型挖掘机挖沟渠土方 三类土</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47</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10343</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建筑物土方回填 人工夯实</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48</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30063换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砖砌沟渠~换:砌筑砂浆 M7.5 水泥32.5</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49</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30076换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砌体砂浆抹面 平均厚2cm 立面~换:防水砂浆 1：3</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50</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40097换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现浇混凝土渠道底板~换:纯混凝土C20 2级配 粒径40 水泥32.5 水灰比0.55[40228]人工运混凝土 运距10～20m</w:t>
            </w:r>
            <w:r>
              <w:rPr>
                <w:rFonts w:hint="default" w:ascii="Times New Roman" w:hAnsi="Times New Roman" w:eastAsia="宋体" w:cs="Times New Roman"/>
                <w:snapToGrid w:val="0"/>
                <w:color w:val="000000"/>
                <w:spacing w:val="0"/>
                <w:w w:val="100"/>
                <w:kern w:val="0"/>
                <w:position w:val="0"/>
                <w:sz w:val="21"/>
                <w:szCs w:val="21"/>
                <w:lang w:val="en-US" w:eastAsia="zh-CN"/>
              </w:rPr>
              <w:br w:type="textWrapping"/>
            </w:r>
            <w:r>
              <w:rPr>
                <w:rFonts w:hint="default" w:ascii="Times New Roman" w:hAnsi="Times New Roman" w:eastAsia="宋体" w:cs="Times New Roman"/>
                <w:snapToGrid w:val="0"/>
                <w:color w:val="000000"/>
                <w:spacing w:val="0"/>
                <w:w w:val="100"/>
                <w:kern w:val="0"/>
                <w:position w:val="0"/>
                <w:sz w:val="21"/>
                <w:szCs w:val="21"/>
                <w:lang w:val="en-US" w:eastAsia="zh-CN"/>
              </w:rPr>
              <w:t>[40225]搅拌机拌制混凝土 搅拌出料0.4m3</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51</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40280换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伸缩缝 沥青砂浆 1：3~换:砌筑砂浆 M7.5 水泥32.5</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终了平台排水沟</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52</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10377</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小型挖掘机挖沟渠土方 三类土</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53</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10343</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建筑物土方回填 人工夯实</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54</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30063换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砖砌沟渠~换:砌筑砂浆 M7.5 水泥32.5</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55</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30076换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砌体砂浆抹面 平均厚2cm 立面~换:防水砂浆 1：3</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56</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40097换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现浇混凝土渠道底板~换:纯混凝土C20 2级配 粒径40 水泥32.5 水灰比0.55[40228]人工运混凝土 运距10～20m</w:t>
            </w:r>
            <w:r>
              <w:rPr>
                <w:rFonts w:hint="default" w:ascii="Times New Roman" w:hAnsi="Times New Roman" w:eastAsia="宋体" w:cs="Times New Roman"/>
                <w:snapToGrid w:val="0"/>
                <w:color w:val="000000"/>
                <w:spacing w:val="0"/>
                <w:w w:val="100"/>
                <w:kern w:val="0"/>
                <w:position w:val="0"/>
                <w:sz w:val="21"/>
                <w:szCs w:val="21"/>
                <w:lang w:val="en-US" w:eastAsia="zh-CN"/>
              </w:rPr>
              <w:br w:type="textWrapping"/>
            </w:r>
            <w:r>
              <w:rPr>
                <w:rFonts w:hint="default" w:ascii="Times New Roman" w:hAnsi="Times New Roman" w:eastAsia="宋体" w:cs="Times New Roman"/>
                <w:snapToGrid w:val="0"/>
                <w:color w:val="000000"/>
                <w:spacing w:val="0"/>
                <w:w w:val="100"/>
                <w:kern w:val="0"/>
                <w:position w:val="0"/>
                <w:sz w:val="21"/>
                <w:szCs w:val="21"/>
                <w:lang w:val="en-US" w:eastAsia="zh-CN"/>
              </w:rPr>
              <w:t>[40225]搅拌机拌制混凝土 搅拌出料0.4m3</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57</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40280换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伸缩缝 沥青砂浆 1：3~换:砌筑砂浆 M7.5 水泥32.5</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沉淀池工程</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沉淀池-A</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58</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10221换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1m3挖掘机挖装自卸汽车运土  运距0～0.5km~自卸汽车5T</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59</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10343</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建筑物土方回填 人工夯实</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60</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40097换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现浇混凝土渠道底板~换:纯混凝土C20 2级配 粒径40 水泥32.5 水灰比0.55[40228]人工运混凝土 运距10～20m</w:t>
            </w:r>
            <w:r>
              <w:rPr>
                <w:rFonts w:hint="default" w:ascii="Times New Roman" w:hAnsi="Times New Roman" w:eastAsia="宋体" w:cs="Times New Roman"/>
                <w:snapToGrid w:val="0"/>
                <w:color w:val="000000"/>
                <w:spacing w:val="0"/>
                <w:w w:val="100"/>
                <w:kern w:val="0"/>
                <w:position w:val="0"/>
                <w:sz w:val="21"/>
                <w:szCs w:val="21"/>
                <w:lang w:val="en-US" w:eastAsia="zh-CN"/>
              </w:rPr>
              <w:br w:type="textWrapping"/>
            </w:r>
            <w:r>
              <w:rPr>
                <w:rFonts w:hint="default" w:ascii="Times New Roman" w:hAnsi="Times New Roman" w:eastAsia="宋体" w:cs="Times New Roman"/>
                <w:snapToGrid w:val="0"/>
                <w:color w:val="000000"/>
                <w:spacing w:val="0"/>
                <w:w w:val="100"/>
                <w:kern w:val="0"/>
                <w:position w:val="0"/>
                <w:sz w:val="21"/>
                <w:szCs w:val="21"/>
                <w:lang w:val="en-US" w:eastAsia="zh-CN"/>
              </w:rPr>
              <w:t>[40225]搅拌机拌制混凝土 搅拌出料0.4m3</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61</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30075换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砌体砂浆抹面 平均厚2cm 平面~换:防水砂浆 1：3</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62</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30076换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砌体砂浆抹面 平均厚2cm 立面~换:防水砂浆 1：3[30078换]砌体砂浆抹面 每增减厚1cm~换:防水砂浆 1：3</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63</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30020换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浆砌块石 挡土墙~换:砌筑砂浆 M7.5 水泥32.5</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沉淀池-B</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64</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10221换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1m3挖掘机挖装自卸汽车运土  运距0～0.5km~自卸汽车5T</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65</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10343</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建筑物土方回填 人工夯实</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66</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40097换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现浇混凝土渠道底板~换:纯混凝土C20 2级配 粒径40 水泥32.5 水灰比0.55[40228]人工运混凝土 运距10～20m</w:t>
            </w:r>
            <w:r>
              <w:rPr>
                <w:rFonts w:hint="default" w:ascii="Times New Roman" w:hAnsi="Times New Roman" w:eastAsia="宋体" w:cs="Times New Roman"/>
                <w:snapToGrid w:val="0"/>
                <w:color w:val="000000"/>
                <w:spacing w:val="0"/>
                <w:w w:val="100"/>
                <w:kern w:val="0"/>
                <w:position w:val="0"/>
                <w:sz w:val="21"/>
                <w:szCs w:val="21"/>
                <w:lang w:val="en-US" w:eastAsia="zh-CN"/>
              </w:rPr>
              <w:br w:type="textWrapping"/>
            </w:r>
            <w:r>
              <w:rPr>
                <w:rFonts w:hint="default" w:ascii="Times New Roman" w:hAnsi="Times New Roman" w:eastAsia="宋体" w:cs="Times New Roman"/>
                <w:snapToGrid w:val="0"/>
                <w:color w:val="000000"/>
                <w:spacing w:val="0"/>
                <w:w w:val="100"/>
                <w:kern w:val="0"/>
                <w:position w:val="0"/>
                <w:sz w:val="21"/>
                <w:szCs w:val="21"/>
                <w:lang w:val="en-US" w:eastAsia="zh-CN"/>
              </w:rPr>
              <w:t>[40225]搅拌机拌制混凝土 搅拌出料0.4m3</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67</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30075换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砌体砂浆抹面 平均厚2cm 平面~换:防水砂浆 1：3</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68</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30076换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砌体砂浆抹面 平均厚2cm 立面~换:防水砂浆 1：3</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69</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30020换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浆砌块石 挡土墙~换:砌筑砂浆 M7.5 水泥32.5</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(四)</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矿山地质灾害防治工程</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挡土墙工程</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排土场挡土墙</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70</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10205换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挖掘机挖土(一、二类土) ~单斗挖掘机 油动 斗容1m3</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71</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10344</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建筑物土方回填 机械夯填</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72</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30020换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浆砌块石 挡土墙~换:砌筑砂浆 M7.5 水泥32.5</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73</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40279</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伸缩缝 沥青木板</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74</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50064</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PVC管道安装|直径50mm以内</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75</w:t>
            </w:r>
          </w:p>
        </w:tc>
        <w:tc>
          <w:tcPr>
            <w:tcW w:w="240"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30075换</w:t>
            </w: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砌体砂浆抹面 平均厚2cm 平面~换:砌筑砂浆 M7.5 水泥32.5</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防护围栏</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露采场防护围栏和警示牌</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沉淀池防护围栏和警示牌</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三</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监测和管护工程</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(一)</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监测工程</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露采场及排土场边坡监测</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水质监测</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土壤监测</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植被监测</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(二)</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管护工程</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ascii="Times New Roman" w:hAnsi="Times New Roman" w:eastAsia="宋体" w:cs="Times New Roman"/>
                <w:snapToGrid w:val="0"/>
                <w:color w:val="000000"/>
                <w:spacing w:val="0"/>
                <w:w w:val="100"/>
                <w:kern w:val="0"/>
                <w:position w:val="0"/>
                <w:sz w:val="21"/>
                <w:szCs w:val="21"/>
                <w:lang w:val="en-US" w:eastAsia="zh-CN"/>
              </w:rPr>
              <w:t>1</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林地管护</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ascii="Times New Roman" w:hAnsi="Times New Roman" w:eastAsia="宋体" w:cs="Times New Roman"/>
                <w:snapToGrid w:val="0"/>
                <w:color w:val="000000"/>
                <w:spacing w:val="0"/>
                <w:w w:val="100"/>
                <w:kern w:val="0"/>
                <w:position w:val="0"/>
                <w:sz w:val="21"/>
                <w:szCs w:val="21"/>
                <w:lang w:val="en-US" w:eastAsia="zh-CN"/>
              </w:rPr>
              <w:t>2</w:t>
            </w:r>
          </w:p>
        </w:tc>
        <w:tc>
          <w:tcPr>
            <w:tcW w:w="240"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66" w:type="pct"/>
            <w:tcBorders>
              <w:tl2br w:val="nil"/>
              <w:tr2bl w:val="nil"/>
            </w:tcBorders>
            <w:shd w:val="clear" w:color="auto" w:fill="auto"/>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设施管护</w:t>
            </w:r>
          </w:p>
        </w:tc>
        <w:tc>
          <w:tcPr>
            <w:tcW w:w="20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61"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192"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26"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359" w:type="pct"/>
            <w:tcBorders>
              <w:tl2br w:val="nil"/>
              <w:tr2bl w:val="nil"/>
            </w:tcBorders>
            <w:shd w:val="clear" w:color="auto" w:fill="auto"/>
            <w:noWrap/>
            <w:vAlign w:val="center"/>
          </w:tcPr>
          <w:p>
            <w:pPr>
              <w:keepNext w:val="0"/>
              <w:keepLines w:val="0"/>
              <w:pageBreakBefore w:val="0"/>
              <w:widowControl/>
              <w:kinsoku/>
              <w:wordWrap/>
              <w:overflowPunct/>
              <w:topLinePunct/>
              <w:autoSpaceDE w:val="0"/>
              <w:autoSpaceDN w:val="0"/>
              <w:bidi w:val="0"/>
              <w:adjustRightInd w:val="0"/>
              <w:snapToGrid w:val="0"/>
              <w:spacing w:before="111" w:line="240" w:lineRule="auto"/>
              <w:ind w:firstLine="0"/>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bl>
    <w:p>
      <w:pPr>
        <w:keepNext w:val="0"/>
        <w:keepLines w:val="0"/>
        <w:pageBreakBefore w:val="0"/>
        <w:widowControl/>
        <w:kinsoku/>
        <w:wordWrap/>
        <w:overflowPunct/>
        <w:topLinePunct/>
        <w:autoSpaceDE w:val="0"/>
        <w:autoSpaceDN w:val="0"/>
        <w:bidi w:val="0"/>
        <w:adjustRightInd w:val="0"/>
        <w:snapToGrid w:val="0"/>
        <w:spacing w:line="360" w:lineRule="auto"/>
        <w:jc w:val="both"/>
        <w:textAlignment w:val="baseline"/>
        <w:rPr>
          <w:rFonts w:hint="default" w:ascii="Times New Roman" w:hAnsi="Times New Roman" w:eastAsia="仿宋" w:cs="Times New Roman"/>
          <w:snapToGrid w:val="0"/>
          <w:color w:val="000000"/>
          <w:spacing w:val="0"/>
          <w:w w:val="100"/>
          <w:kern w:val="0"/>
          <w:position w:val="0"/>
          <w:sz w:val="28"/>
          <w:szCs w:val="28"/>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2" w:firstLineChars="200"/>
        <w:jc w:val="left"/>
        <w:textAlignment w:val="baseline"/>
        <w:rPr>
          <w:rFonts w:hint="default" w:ascii="Times New Roman" w:hAnsi="Times New Roman" w:eastAsia="宋体" w:cs="Times New Roman"/>
          <w:b/>
          <w:bCs/>
          <w:snapToGrid w:val="0"/>
          <w:color w:val="000000"/>
          <w:spacing w:val="0"/>
          <w:w w:val="100"/>
          <w:kern w:val="0"/>
          <w:position w:val="0"/>
          <w:sz w:val="28"/>
          <w:szCs w:val="28"/>
        </w:rPr>
      </w:pPr>
      <w:r>
        <w:rPr>
          <w:rFonts w:hint="default" w:ascii="Times New Roman" w:hAnsi="Times New Roman" w:eastAsia="宋体" w:cs="Times New Roman"/>
          <w:b/>
          <w:bCs/>
          <w:snapToGrid w:val="0"/>
          <w:color w:val="000000"/>
          <w:spacing w:val="0"/>
          <w:w w:val="100"/>
          <w:kern w:val="0"/>
          <w:position w:val="0"/>
          <w:sz w:val="28"/>
          <w:szCs w:val="28"/>
          <w:lang w:val="en-US" w:eastAsia="zh-CN"/>
        </w:rPr>
        <w:t>2、经费估算结果</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left"/>
        <w:textAlignment w:val="baseline"/>
        <w:rPr>
          <w:rFonts w:hint="default" w:ascii="Times New Roman" w:hAnsi="Times New Roman" w:eastAsia="宋体" w:cs="Times New Roman"/>
          <w:snapToGrid w:val="0"/>
          <w:color w:val="000000"/>
          <w:spacing w:val="0"/>
          <w:w w:val="100"/>
          <w:kern w:val="0"/>
          <w:position w:val="0"/>
          <w:sz w:val="28"/>
          <w:szCs w:val="28"/>
          <w:lang w:val="en-US" w:eastAsia="zh-CN"/>
        </w:rPr>
      </w:pPr>
      <w:r>
        <w:rPr>
          <w:rFonts w:hint="default" w:ascii="Times New Roman" w:hAnsi="Times New Roman" w:eastAsia="宋体" w:cs="Times New Roman"/>
          <w:snapToGrid w:val="0"/>
          <w:color w:val="000000"/>
          <w:spacing w:val="0"/>
          <w:w w:val="100"/>
          <w:kern w:val="0"/>
          <w:position w:val="0"/>
          <w:sz w:val="28"/>
          <w:szCs w:val="28"/>
          <w:lang w:val="en-US" w:eastAsia="zh-CN"/>
        </w:rPr>
        <w:t>项目估算总投资</w:t>
      </w:r>
      <w:r>
        <w:rPr>
          <w:rFonts w:hint="eastAsia" w:ascii="Times New Roman" w:hAnsi="Times New Roman" w:eastAsia="宋体" w:cs="Times New Roman"/>
          <w:snapToGrid w:val="0"/>
          <w:color w:val="000000"/>
          <w:spacing w:val="0"/>
          <w:w w:val="100"/>
          <w:kern w:val="0"/>
          <w:position w:val="0"/>
          <w:sz w:val="28"/>
          <w:szCs w:val="28"/>
          <w:lang w:val="en-US" w:eastAsia="zh-CN"/>
        </w:rPr>
        <w:t>***</w:t>
      </w:r>
      <w:r>
        <w:rPr>
          <w:rFonts w:hint="default" w:ascii="Times New Roman" w:hAnsi="Times New Roman" w:eastAsia="宋体" w:cs="Times New Roman"/>
          <w:snapToGrid w:val="0"/>
          <w:color w:val="000000"/>
          <w:spacing w:val="0"/>
          <w:w w:val="100"/>
          <w:kern w:val="0"/>
          <w:position w:val="0"/>
          <w:sz w:val="28"/>
          <w:szCs w:val="28"/>
          <w:lang w:val="en-US" w:eastAsia="zh-CN"/>
        </w:rPr>
        <w:t>万元。其中工程施工费</w:t>
      </w:r>
      <w:r>
        <w:rPr>
          <w:rFonts w:hint="eastAsia" w:ascii="Times New Roman" w:hAnsi="Times New Roman" w:eastAsia="宋体" w:cs="Times New Roman"/>
          <w:snapToGrid w:val="0"/>
          <w:color w:val="000000"/>
          <w:spacing w:val="0"/>
          <w:w w:val="100"/>
          <w:kern w:val="0"/>
          <w:position w:val="0"/>
          <w:sz w:val="28"/>
          <w:szCs w:val="28"/>
          <w:lang w:val="en-US" w:eastAsia="zh-CN"/>
        </w:rPr>
        <w:t>***</w:t>
      </w:r>
      <w:r>
        <w:rPr>
          <w:rFonts w:hint="default" w:ascii="Times New Roman" w:hAnsi="Times New Roman" w:eastAsia="宋体" w:cs="Times New Roman"/>
          <w:snapToGrid w:val="0"/>
          <w:color w:val="000000"/>
          <w:spacing w:val="0"/>
          <w:w w:val="100"/>
          <w:kern w:val="0"/>
          <w:position w:val="0"/>
          <w:sz w:val="28"/>
          <w:szCs w:val="28"/>
          <w:lang w:val="en-US" w:eastAsia="zh-CN"/>
        </w:rPr>
        <w:t>万元（含生态保护保育工程费用</w:t>
      </w:r>
      <w:r>
        <w:rPr>
          <w:rFonts w:hint="eastAsia" w:ascii="Times New Roman" w:hAnsi="Times New Roman" w:eastAsia="宋体" w:cs="Times New Roman"/>
          <w:snapToGrid w:val="0"/>
          <w:color w:val="000000"/>
          <w:spacing w:val="0"/>
          <w:w w:val="100"/>
          <w:kern w:val="0"/>
          <w:position w:val="0"/>
          <w:sz w:val="28"/>
          <w:szCs w:val="28"/>
          <w:lang w:val="en-US" w:eastAsia="zh-CN"/>
        </w:rPr>
        <w:t>***</w:t>
      </w:r>
      <w:r>
        <w:rPr>
          <w:rFonts w:hint="default" w:ascii="Times New Roman" w:hAnsi="Times New Roman" w:eastAsia="宋体" w:cs="Times New Roman"/>
          <w:snapToGrid w:val="0"/>
          <w:color w:val="000000"/>
          <w:spacing w:val="0"/>
          <w:w w:val="100"/>
          <w:kern w:val="0"/>
          <w:position w:val="0"/>
          <w:sz w:val="28"/>
          <w:szCs w:val="28"/>
          <w:lang w:val="en-US" w:eastAsia="zh-CN"/>
        </w:rPr>
        <w:t>万元，生态修复工程费用</w:t>
      </w:r>
      <w:r>
        <w:rPr>
          <w:rFonts w:hint="eastAsia" w:ascii="Times New Roman" w:hAnsi="Times New Roman" w:eastAsia="宋体" w:cs="Times New Roman"/>
          <w:snapToGrid w:val="0"/>
          <w:color w:val="000000"/>
          <w:spacing w:val="0"/>
          <w:w w:val="100"/>
          <w:kern w:val="0"/>
          <w:position w:val="0"/>
          <w:sz w:val="28"/>
          <w:szCs w:val="28"/>
          <w:lang w:val="en-US" w:eastAsia="zh-CN"/>
        </w:rPr>
        <w:t>***</w:t>
      </w:r>
      <w:r>
        <w:rPr>
          <w:rFonts w:hint="default" w:ascii="Times New Roman" w:hAnsi="Times New Roman" w:eastAsia="宋体" w:cs="Times New Roman"/>
          <w:snapToGrid w:val="0"/>
          <w:color w:val="000000"/>
          <w:spacing w:val="0"/>
          <w:w w:val="100"/>
          <w:kern w:val="0"/>
          <w:position w:val="0"/>
          <w:sz w:val="28"/>
          <w:szCs w:val="28"/>
          <w:lang w:val="en-US" w:eastAsia="zh-CN"/>
        </w:rPr>
        <w:t>万元，监测和管护工程费用</w:t>
      </w:r>
      <w:r>
        <w:rPr>
          <w:rFonts w:hint="eastAsia" w:ascii="Times New Roman" w:hAnsi="Times New Roman" w:eastAsia="宋体" w:cs="Times New Roman"/>
          <w:snapToGrid w:val="0"/>
          <w:color w:val="000000"/>
          <w:spacing w:val="0"/>
          <w:w w:val="100"/>
          <w:kern w:val="0"/>
          <w:position w:val="0"/>
          <w:sz w:val="28"/>
          <w:szCs w:val="28"/>
          <w:lang w:val="en-US" w:eastAsia="zh-CN"/>
        </w:rPr>
        <w:t>***</w:t>
      </w:r>
      <w:r>
        <w:rPr>
          <w:rFonts w:hint="default" w:ascii="Times New Roman" w:hAnsi="Times New Roman" w:eastAsia="宋体" w:cs="Times New Roman"/>
          <w:snapToGrid w:val="0"/>
          <w:color w:val="000000"/>
          <w:spacing w:val="0"/>
          <w:w w:val="100"/>
          <w:kern w:val="0"/>
          <w:position w:val="0"/>
          <w:sz w:val="28"/>
          <w:szCs w:val="28"/>
          <w:lang w:val="en-US" w:eastAsia="zh-CN"/>
        </w:rPr>
        <w:t>万元），占总费用的</w:t>
      </w:r>
      <w:r>
        <w:rPr>
          <w:rFonts w:hint="eastAsia" w:ascii="Times New Roman" w:hAnsi="Times New Roman" w:eastAsia="宋体" w:cs="Times New Roman"/>
          <w:snapToGrid w:val="0"/>
          <w:color w:val="000000"/>
          <w:spacing w:val="0"/>
          <w:w w:val="100"/>
          <w:kern w:val="0"/>
          <w:position w:val="0"/>
          <w:sz w:val="28"/>
          <w:szCs w:val="28"/>
          <w:lang w:val="en-US" w:eastAsia="zh-CN"/>
        </w:rPr>
        <w:t>***</w:t>
      </w:r>
      <w:r>
        <w:rPr>
          <w:rFonts w:hint="default" w:ascii="Times New Roman" w:hAnsi="Times New Roman" w:eastAsia="宋体" w:cs="Times New Roman"/>
          <w:snapToGrid w:val="0"/>
          <w:color w:val="000000"/>
          <w:spacing w:val="0"/>
          <w:w w:val="100"/>
          <w:kern w:val="0"/>
          <w:position w:val="0"/>
          <w:sz w:val="28"/>
          <w:szCs w:val="28"/>
          <w:lang w:val="en-US" w:eastAsia="zh-CN"/>
        </w:rPr>
        <w:t>%；其他费用</w:t>
      </w:r>
      <w:r>
        <w:rPr>
          <w:rFonts w:hint="eastAsia" w:ascii="Times New Roman" w:hAnsi="Times New Roman" w:eastAsia="宋体" w:cs="Times New Roman"/>
          <w:snapToGrid w:val="0"/>
          <w:color w:val="000000"/>
          <w:spacing w:val="0"/>
          <w:w w:val="100"/>
          <w:kern w:val="0"/>
          <w:position w:val="0"/>
          <w:sz w:val="28"/>
          <w:szCs w:val="28"/>
          <w:lang w:val="en-US" w:eastAsia="zh-CN"/>
        </w:rPr>
        <w:t>***</w:t>
      </w:r>
      <w:r>
        <w:rPr>
          <w:rFonts w:hint="default" w:ascii="Times New Roman" w:hAnsi="Times New Roman" w:eastAsia="宋体" w:cs="Times New Roman"/>
          <w:snapToGrid w:val="0"/>
          <w:color w:val="000000"/>
          <w:spacing w:val="0"/>
          <w:w w:val="100"/>
          <w:kern w:val="0"/>
          <w:position w:val="0"/>
          <w:sz w:val="28"/>
          <w:szCs w:val="28"/>
          <w:lang w:val="en-US" w:eastAsia="zh-CN"/>
        </w:rPr>
        <w:t>万元，占总费用的</w:t>
      </w:r>
      <w:r>
        <w:rPr>
          <w:rFonts w:hint="eastAsia" w:ascii="Times New Roman" w:hAnsi="Times New Roman" w:eastAsia="宋体" w:cs="Times New Roman"/>
          <w:snapToGrid w:val="0"/>
          <w:color w:val="000000"/>
          <w:spacing w:val="0"/>
          <w:w w:val="100"/>
          <w:kern w:val="0"/>
          <w:position w:val="0"/>
          <w:sz w:val="28"/>
          <w:szCs w:val="28"/>
          <w:lang w:val="en-US" w:eastAsia="zh-CN"/>
        </w:rPr>
        <w:t>***</w:t>
      </w:r>
      <w:r>
        <w:rPr>
          <w:rFonts w:hint="default" w:ascii="Times New Roman" w:hAnsi="Times New Roman" w:eastAsia="宋体" w:cs="Times New Roman"/>
          <w:snapToGrid w:val="0"/>
          <w:color w:val="000000"/>
          <w:spacing w:val="0"/>
          <w:w w:val="100"/>
          <w:kern w:val="0"/>
          <w:position w:val="0"/>
          <w:sz w:val="28"/>
          <w:szCs w:val="28"/>
          <w:lang w:val="en-US" w:eastAsia="zh-CN"/>
        </w:rPr>
        <w:t>%；不可预见费</w:t>
      </w:r>
      <w:r>
        <w:rPr>
          <w:rFonts w:hint="eastAsia" w:ascii="Times New Roman" w:hAnsi="Times New Roman" w:eastAsia="宋体" w:cs="Times New Roman"/>
          <w:snapToGrid w:val="0"/>
          <w:color w:val="000000"/>
          <w:spacing w:val="0"/>
          <w:w w:val="100"/>
          <w:kern w:val="0"/>
          <w:position w:val="0"/>
          <w:sz w:val="28"/>
          <w:szCs w:val="28"/>
          <w:lang w:val="en-US" w:eastAsia="zh-CN"/>
        </w:rPr>
        <w:t>***</w:t>
      </w:r>
      <w:r>
        <w:rPr>
          <w:rFonts w:hint="default" w:ascii="Times New Roman" w:hAnsi="Times New Roman" w:eastAsia="宋体" w:cs="Times New Roman"/>
          <w:snapToGrid w:val="0"/>
          <w:color w:val="000000"/>
          <w:spacing w:val="0"/>
          <w:w w:val="100"/>
          <w:kern w:val="0"/>
          <w:position w:val="0"/>
          <w:sz w:val="28"/>
          <w:szCs w:val="28"/>
          <w:lang w:val="en-US" w:eastAsia="zh-CN"/>
        </w:rPr>
        <w:t>万元，占总投资的</w:t>
      </w:r>
      <w:r>
        <w:rPr>
          <w:rFonts w:hint="eastAsia" w:ascii="Times New Roman" w:hAnsi="Times New Roman" w:eastAsia="宋体" w:cs="Times New Roman"/>
          <w:snapToGrid w:val="0"/>
          <w:color w:val="000000"/>
          <w:spacing w:val="0"/>
          <w:w w:val="100"/>
          <w:kern w:val="0"/>
          <w:position w:val="0"/>
          <w:sz w:val="28"/>
          <w:szCs w:val="28"/>
          <w:lang w:val="en-US" w:eastAsia="zh-CN"/>
        </w:rPr>
        <w:t>***</w:t>
      </w:r>
      <w:r>
        <w:rPr>
          <w:rFonts w:hint="default" w:ascii="Times New Roman" w:hAnsi="Times New Roman" w:eastAsia="宋体" w:cs="Times New Roman"/>
          <w:snapToGrid w:val="0"/>
          <w:color w:val="000000"/>
          <w:spacing w:val="0"/>
          <w:w w:val="100"/>
          <w:kern w:val="0"/>
          <w:position w:val="0"/>
          <w:sz w:val="28"/>
          <w:szCs w:val="28"/>
          <w:lang w:val="en-US" w:eastAsia="zh-CN"/>
        </w:rPr>
        <w:t>%</w:t>
      </w:r>
      <w:r>
        <w:rPr>
          <w:rFonts w:hint="eastAsia" w:ascii="Times New Roman" w:hAnsi="Times New Roman" w:eastAsia="宋体" w:cs="Times New Roman"/>
          <w:snapToGrid w:val="0"/>
          <w:color w:val="000000"/>
          <w:spacing w:val="0"/>
          <w:w w:val="100"/>
          <w:kern w:val="0"/>
          <w:position w:val="0"/>
          <w:sz w:val="28"/>
          <w:szCs w:val="28"/>
          <w:lang w:val="en-US" w:eastAsia="zh-CN"/>
        </w:rPr>
        <w:t>；预留费用***万元，占总费用的***%</w:t>
      </w:r>
      <w:r>
        <w:rPr>
          <w:rFonts w:hint="default" w:ascii="Times New Roman" w:hAnsi="Times New Roman" w:eastAsia="宋体" w:cs="Times New Roman"/>
          <w:snapToGrid w:val="0"/>
          <w:color w:val="000000"/>
          <w:spacing w:val="0"/>
          <w:w w:val="100"/>
          <w:kern w:val="0"/>
          <w:position w:val="0"/>
          <w:sz w:val="28"/>
          <w:szCs w:val="28"/>
          <w:lang w:val="en-US" w:eastAsia="zh-CN"/>
        </w:rPr>
        <w:t>。</w:t>
      </w:r>
    </w:p>
    <w:p>
      <w:pPr>
        <w:spacing w:line="0" w:lineRule="atLeast"/>
        <w:ind w:firstLine="482" w:firstLineChars="200"/>
        <w:jc w:val="center"/>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表5-</w:t>
      </w:r>
      <w:r>
        <w:rPr>
          <w:rFonts w:hint="eastAsia" w:ascii="Times New Roman" w:hAnsi="Times New Roman" w:eastAsia="宋体" w:cs="Times New Roman"/>
          <w:b/>
          <w:sz w:val="24"/>
          <w:szCs w:val="24"/>
          <w:lang w:val="en-US" w:eastAsia="zh-CN"/>
        </w:rPr>
        <w:t>6</w:t>
      </w:r>
      <w:r>
        <w:rPr>
          <w:rFonts w:hint="default" w:ascii="Times New Roman" w:hAnsi="Times New Roman" w:eastAsia="宋体" w:cs="Times New Roman"/>
          <w:b/>
          <w:sz w:val="24"/>
          <w:szCs w:val="24"/>
          <w:lang w:val="en-US" w:eastAsia="zh-CN"/>
        </w:rPr>
        <w:t>矿山生态保护修复工程费用估算总表</w:t>
      </w:r>
    </w:p>
    <w:p>
      <w:pPr>
        <w:spacing w:line="0" w:lineRule="atLeast"/>
        <w:ind w:firstLine="420" w:firstLineChars="200"/>
        <w:jc w:val="right"/>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单位：万元</w:t>
      </w:r>
    </w:p>
    <w:tbl>
      <w:tblPr>
        <w:tblStyle w:val="12"/>
        <w:tblW w:w="4998" w:type="pct"/>
        <w:jc w:val="center"/>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638"/>
        <w:gridCol w:w="3096"/>
        <w:gridCol w:w="2529"/>
        <w:gridCol w:w="2256"/>
      </w:tblGrid>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2" w:hRule="atLeast"/>
          <w:jc w:val="center"/>
        </w:trPr>
        <w:tc>
          <w:tcPr>
            <w:tcW w:w="37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序号</w:t>
            </w:r>
          </w:p>
        </w:tc>
        <w:tc>
          <w:tcPr>
            <w:tcW w:w="181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工程或费用名称</w:t>
            </w:r>
          </w:p>
        </w:tc>
        <w:tc>
          <w:tcPr>
            <w:tcW w:w="148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预算金额</w:t>
            </w:r>
          </w:p>
        </w:tc>
        <w:tc>
          <w:tcPr>
            <w:tcW w:w="1323"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各项费用占总费用</w:t>
            </w:r>
          </w:p>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的比例（%）</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2" w:hRule="atLeast"/>
          <w:jc w:val="center"/>
        </w:trPr>
        <w:tc>
          <w:tcPr>
            <w:tcW w:w="37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一</w:t>
            </w:r>
          </w:p>
        </w:tc>
        <w:tc>
          <w:tcPr>
            <w:tcW w:w="181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工程施工费</w:t>
            </w:r>
          </w:p>
        </w:tc>
        <w:tc>
          <w:tcPr>
            <w:tcW w:w="148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255"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2" w:hRule="atLeast"/>
          <w:jc w:val="center"/>
        </w:trPr>
        <w:tc>
          <w:tcPr>
            <w:tcW w:w="37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181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生态保护保育工程</w:t>
            </w:r>
          </w:p>
        </w:tc>
        <w:tc>
          <w:tcPr>
            <w:tcW w:w="148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255"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2" w:hRule="atLeast"/>
          <w:jc w:val="center"/>
        </w:trPr>
        <w:tc>
          <w:tcPr>
            <w:tcW w:w="37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181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生态修复工程</w:t>
            </w:r>
          </w:p>
        </w:tc>
        <w:tc>
          <w:tcPr>
            <w:tcW w:w="148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255"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37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w:t>
            </w:r>
          </w:p>
        </w:tc>
        <w:tc>
          <w:tcPr>
            <w:tcW w:w="181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监测和管护工程</w:t>
            </w:r>
          </w:p>
        </w:tc>
        <w:tc>
          <w:tcPr>
            <w:tcW w:w="148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255"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2" w:hRule="atLeast"/>
          <w:jc w:val="center"/>
        </w:trPr>
        <w:tc>
          <w:tcPr>
            <w:tcW w:w="37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二</w:t>
            </w:r>
          </w:p>
        </w:tc>
        <w:tc>
          <w:tcPr>
            <w:tcW w:w="181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设备购置费</w:t>
            </w:r>
          </w:p>
        </w:tc>
        <w:tc>
          <w:tcPr>
            <w:tcW w:w="148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255"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2" w:hRule="atLeast"/>
          <w:jc w:val="center"/>
        </w:trPr>
        <w:tc>
          <w:tcPr>
            <w:tcW w:w="37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三</w:t>
            </w:r>
          </w:p>
        </w:tc>
        <w:tc>
          <w:tcPr>
            <w:tcW w:w="181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其他费用</w:t>
            </w:r>
          </w:p>
        </w:tc>
        <w:tc>
          <w:tcPr>
            <w:tcW w:w="148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255"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2" w:hRule="atLeast"/>
          <w:jc w:val="center"/>
        </w:trPr>
        <w:tc>
          <w:tcPr>
            <w:tcW w:w="37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四</w:t>
            </w:r>
          </w:p>
        </w:tc>
        <w:tc>
          <w:tcPr>
            <w:tcW w:w="181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不可预见费</w:t>
            </w:r>
          </w:p>
        </w:tc>
        <w:tc>
          <w:tcPr>
            <w:tcW w:w="148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255"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2" w:hRule="atLeast"/>
          <w:jc w:val="center"/>
        </w:trPr>
        <w:tc>
          <w:tcPr>
            <w:tcW w:w="37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五</w:t>
            </w:r>
          </w:p>
        </w:tc>
        <w:tc>
          <w:tcPr>
            <w:tcW w:w="181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预留费用</w:t>
            </w:r>
          </w:p>
        </w:tc>
        <w:tc>
          <w:tcPr>
            <w:tcW w:w="148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255"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2" w:hRule="atLeast"/>
          <w:jc w:val="center"/>
        </w:trPr>
        <w:tc>
          <w:tcPr>
            <w:tcW w:w="37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181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地灾隐患预留费用</w:t>
            </w:r>
          </w:p>
        </w:tc>
        <w:tc>
          <w:tcPr>
            <w:tcW w:w="148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255"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2" w:hRule="atLeast"/>
          <w:jc w:val="center"/>
        </w:trPr>
        <w:tc>
          <w:tcPr>
            <w:tcW w:w="37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181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ascii="Times New Roman" w:hAnsi="Times New Roman" w:eastAsia="宋体" w:cs="Times New Roman"/>
                <w:snapToGrid w:val="0"/>
                <w:color w:val="000000"/>
                <w:spacing w:val="0"/>
                <w:w w:val="100"/>
                <w:kern w:val="0"/>
                <w:position w:val="0"/>
                <w:sz w:val="21"/>
                <w:szCs w:val="21"/>
                <w:lang w:val="en-US" w:eastAsia="zh-CN"/>
              </w:rPr>
              <w:t>耕地补充费用</w:t>
            </w:r>
          </w:p>
        </w:tc>
        <w:tc>
          <w:tcPr>
            <w:tcW w:w="148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2255"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2" w:hRule="atLeast"/>
          <w:jc w:val="center"/>
        </w:trPr>
        <w:tc>
          <w:tcPr>
            <w:tcW w:w="2191" w:type="pct"/>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总计</w:t>
            </w:r>
          </w:p>
        </w:tc>
        <w:tc>
          <w:tcPr>
            <w:tcW w:w="1484" w:type="pct"/>
            <w:tcBorders>
              <w:tl2br w:val="nil"/>
              <w:tr2bl w:val="nil"/>
            </w:tcBorders>
            <w:shd w:val="clear" w:color="auto" w:fill="auto"/>
            <w:noWrap/>
            <w:vAlign w:val="center"/>
          </w:tcPr>
          <w:p>
            <w:pPr>
              <w:keepNext w:val="0"/>
              <w:keepLines w:val="0"/>
              <w:widowControl/>
              <w:suppressLineNumbers w:val="0"/>
              <w:jc w:val="center"/>
              <w:textAlignment w:val="bottom"/>
              <w:rPr>
                <w:rFonts w:hint="default" w:ascii="Times New Roman" w:hAnsi="Times New Roman" w:cs="Times New Roman" w:eastAsiaTheme="minorEastAsia"/>
                <w:b/>
                <w:bCs/>
                <w:i w:val="0"/>
                <w:iCs w:val="0"/>
                <w:color w:val="000000"/>
                <w:kern w:val="2"/>
                <w:sz w:val="21"/>
                <w:szCs w:val="21"/>
                <w:u w:val="no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w:t>
            </w:r>
          </w:p>
        </w:tc>
        <w:tc>
          <w:tcPr>
            <w:tcW w:w="2255"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bl>
    <w:p>
      <w:pPr>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br w:type="page"/>
      </w:r>
    </w:p>
    <w:p>
      <w:pPr>
        <w:spacing w:line="0" w:lineRule="atLeast"/>
        <w:ind w:firstLine="482" w:firstLineChars="200"/>
        <w:jc w:val="center"/>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表5-</w:t>
      </w:r>
      <w:r>
        <w:rPr>
          <w:rFonts w:hint="eastAsia" w:ascii="Times New Roman" w:hAnsi="Times New Roman" w:eastAsia="宋体" w:cs="Times New Roman"/>
          <w:b/>
          <w:sz w:val="24"/>
          <w:szCs w:val="24"/>
          <w:lang w:val="en-US" w:eastAsia="zh-CN"/>
        </w:rPr>
        <w:t>7</w:t>
      </w:r>
      <w:r>
        <w:rPr>
          <w:rFonts w:hint="default" w:ascii="Times New Roman" w:hAnsi="Times New Roman" w:eastAsia="宋体" w:cs="Times New Roman"/>
          <w:b/>
          <w:sz w:val="24"/>
          <w:szCs w:val="24"/>
          <w:lang w:val="en-US" w:eastAsia="zh-CN"/>
        </w:rPr>
        <w:t>矿山生态修复工程费用估算分类表</w:t>
      </w:r>
    </w:p>
    <w:p>
      <w:pPr>
        <w:spacing w:line="0" w:lineRule="atLeast"/>
        <w:ind w:firstLine="420" w:firstLineChars="200"/>
        <w:jc w:val="right"/>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金额单位：元</w:t>
      </w:r>
    </w:p>
    <w:tbl>
      <w:tblPr>
        <w:tblStyle w:val="12"/>
        <w:tblW w:w="4997" w:type="pct"/>
        <w:tblInd w:w="0" w:type="dxa"/>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90"/>
        <w:gridCol w:w="1000"/>
        <w:gridCol w:w="2699"/>
        <w:gridCol w:w="743"/>
        <w:gridCol w:w="1004"/>
        <w:gridCol w:w="1109"/>
        <w:gridCol w:w="1272"/>
      </w:tblGrid>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2" w:hRule="atLeast"/>
          <w:tblHeader/>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序号</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定额编号</w:t>
            </w:r>
          </w:p>
        </w:tc>
        <w:tc>
          <w:tcPr>
            <w:tcW w:w="1584"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单项名称</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单位</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工程量</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综合单价</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ascii="Times New Roman" w:hAnsi="Times New Roman" w:eastAsia="宋体" w:cs="Times New Roman"/>
                <w:b/>
                <w:bCs/>
                <w:snapToGrid w:val="0"/>
                <w:color w:val="000000"/>
                <w:spacing w:val="0"/>
                <w:w w:val="100"/>
                <w:kern w:val="0"/>
                <w:position w:val="0"/>
                <w:sz w:val="21"/>
                <w:szCs w:val="21"/>
                <w:lang w:val="en-US" w:eastAsia="zh-CN"/>
              </w:rPr>
              <w:t>工程施工费</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一</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生态保护保育工程</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(一)</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宣传警示牌</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宣传警示牌</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块</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宣传警示牌</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块</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二</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生态修复工程</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(一)</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地形地貌景观修复工程</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矿山公路绿化</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90009</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栽植乔木（裸根胸径在8cm以内）</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株</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90019</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栽植灌木（冠丛高在150cm以内）</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株</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工业广场绿化</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90009</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栽植乔木（裸根胸径在8cm以内）</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株</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90019</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栽植灌木（冠丛高在150cm以内）</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株</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90032换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草皮散铺~Ⅲ类土</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(二)</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土地复垦与生物多样性恢复工程</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开采台阶复垦</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覆土及平整</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公顷</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7</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10167</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2.5～2.75m3拖式铲运机铲运土(三类土)  铲运距离200～300m</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8</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10322换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推土机推土(三类土) 推土距离20～30m ~推土机40～55KW</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格宾挡墙</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30011</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干砌块石 挡土墙</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植物工程</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11</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90019</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栽植灌木（冠丛高在150cm以内）</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株</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12</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90018</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栽植灌木（冠丛高在100cm以内）~攀爬植物</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株</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13</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90030</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撒播 不覆土</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公顷</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终了平台复垦</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覆土及平整</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公顷</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14</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10169</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2.5～2.75m3拖式铲运机铲运土(三类土)  铲运距离400～500m</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15</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10322换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推土机推土(三类土) 推土距离20～30m ~推土机40～55KW</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植物工程</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16</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90009</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栽植乔木（裸根胸径在8cm以内）</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株</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17</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90019</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栽植灌木（冠丛高在150cm以内）</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株</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18</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90030</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撒播 不覆土</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公顷</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排土场复垦</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覆土及平整</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公顷</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19</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10322换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推土机推土(三类土) 推土距离20～30m ~推土机40～55KW</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植物工程</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20</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90009</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栽植乔木（裸根胸径在8cm以内）</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株</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21</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90019</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栽植灌木（冠丛高在150cm以内）</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株</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22</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90030</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撒播 不覆土</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公顷</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工业广场复垦</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清理、覆土及平整</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公顷</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23</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40257</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机械拆除无钢筋混凝土</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24</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10251换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2m3挖掘机挖装自卸汽车运土  运距2～3km~自卸汽车15T</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25</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10169</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2.5～2.75m3拖式铲运机铲运土(三类土)  铲运距离400～500m</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26</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10322换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推土机推土(三类土) 推土距离20～30m ~推土机40～55KW</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植物工程</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27</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90009</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栽植乔木（裸根胸径在8cm以内）</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株</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28</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90019</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栽植灌木（冠丛高在150cm以内）</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株</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29</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90030</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撒播 不覆土</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公顷</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(三)</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水资源水生态修复与改善工程</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截（排）水沟</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环</w:t>
            </w:r>
            <w:r>
              <w:rPr>
                <w:rFonts w:hint="eastAsia" w:ascii="Times New Roman" w:hAnsi="Times New Roman" w:eastAsia="宋体" w:cs="Times New Roman"/>
                <w:snapToGrid w:val="0"/>
                <w:color w:val="000000"/>
                <w:spacing w:val="0"/>
                <w:w w:val="100"/>
                <w:kern w:val="0"/>
                <w:position w:val="0"/>
                <w:sz w:val="21"/>
                <w:szCs w:val="21"/>
                <w:lang w:val="en-US" w:eastAsia="zh-CN"/>
              </w:rPr>
              <w:t>露采场</w:t>
            </w:r>
            <w:r>
              <w:rPr>
                <w:rFonts w:hint="default" w:ascii="Times New Roman" w:hAnsi="Times New Roman" w:eastAsia="宋体" w:cs="Times New Roman"/>
                <w:snapToGrid w:val="0"/>
                <w:color w:val="000000"/>
                <w:spacing w:val="0"/>
                <w:w w:val="100"/>
                <w:kern w:val="0"/>
                <w:position w:val="0"/>
                <w:sz w:val="21"/>
                <w:szCs w:val="21"/>
                <w:lang w:val="en-US" w:eastAsia="zh-CN"/>
              </w:rPr>
              <w:t>截水沟</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10377</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小型挖掘机挖沟渠土方 三类土</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31</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10343</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建筑物土方回填 人工夯实</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32</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30063换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砖砌沟渠~换:砌筑砂浆 M7.5 水泥32.5</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33</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30076换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砌体砂浆抹面 平均厚2cm 立面~换:防水砂浆 1：3</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96"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34</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40097换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现浇混凝土渠道底板~换:纯混凝土C20 2级配 粒径40 水泥32.5 水灰比0.55 [40228]人工运混凝土 运距10～20m</w:t>
            </w:r>
            <w:r>
              <w:rPr>
                <w:rFonts w:hint="default" w:ascii="Times New Roman" w:hAnsi="Times New Roman" w:eastAsia="宋体" w:cs="Times New Roman"/>
                <w:snapToGrid w:val="0"/>
                <w:color w:val="000000"/>
                <w:spacing w:val="0"/>
                <w:w w:val="100"/>
                <w:kern w:val="0"/>
                <w:position w:val="0"/>
                <w:sz w:val="21"/>
                <w:szCs w:val="21"/>
                <w:lang w:val="en-US" w:eastAsia="zh-CN"/>
              </w:rPr>
              <w:br w:type="textWrapping"/>
            </w:r>
            <w:r>
              <w:rPr>
                <w:rFonts w:hint="default" w:ascii="Times New Roman" w:hAnsi="Times New Roman" w:eastAsia="宋体" w:cs="Times New Roman"/>
                <w:snapToGrid w:val="0"/>
                <w:color w:val="000000"/>
                <w:spacing w:val="0"/>
                <w:w w:val="100"/>
                <w:kern w:val="0"/>
                <w:position w:val="0"/>
                <w:sz w:val="21"/>
                <w:szCs w:val="21"/>
                <w:lang w:val="en-US" w:eastAsia="zh-CN"/>
              </w:rPr>
              <w:t xml:space="preserve"> [40225]搅拌机拌制混凝土 搅拌出料0.4m3</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35</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40280换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伸缩缝 沥青砂浆 1：3~换:砌筑砂浆 M7.5 水泥32.5</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排土场截水沟</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36</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10377</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小型挖掘机挖沟渠土方 三类土</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37</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10343</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建筑物土方回填 人工夯实</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38</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30063换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砖砌沟渠~换:砌筑砂浆 M7.5 水泥32.5</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39</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30076换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砌体砂浆抹面 平均厚2cm 立面~换:防水砂浆 1：3</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96"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40097换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现浇混凝土渠道底板~换:纯混凝土C20 2级配 粒径40 水泥32.5 水灰比0.55 [40228]人工运混凝土 运距10～20m</w:t>
            </w:r>
            <w:r>
              <w:rPr>
                <w:rFonts w:hint="default" w:ascii="Times New Roman" w:hAnsi="Times New Roman" w:eastAsia="宋体" w:cs="Times New Roman"/>
                <w:snapToGrid w:val="0"/>
                <w:color w:val="000000"/>
                <w:spacing w:val="0"/>
                <w:w w:val="100"/>
                <w:kern w:val="0"/>
                <w:position w:val="0"/>
                <w:sz w:val="21"/>
                <w:szCs w:val="21"/>
                <w:lang w:val="en-US" w:eastAsia="zh-CN"/>
              </w:rPr>
              <w:br w:type="textWrapping"/>
            </w:r>
            <w:r>
              <w:rPr>
                <w:rFonts w:hint="default" w:ascii="Times New Roman" w:hAnsi="Times New Roman" w:eastAsia="宋体" w:cs="Times New Roman"/>
                <w:snapToGrid w:val="0"/>
                <w:color w:val="000000"/>
                <w:spacing w:val="0"/>
                <w:w w:val="100"/>
                <w:kern w:val="0"/>
                <w:position w:val="0"/>
                <w:sz w:val="21"/>
                <w:szCs w:val="21"/>
                <w:lang w:val="en-US" w:eastAsia="zh-CN"/>
              </w:rPr>
              <w:t xml:space="preserve"> [40225]搅拌机拌制混凝土 搅拌出料0.4m3</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41</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40280换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伸缩缝 沥青砂浆 1：3~换:砌筑砂浆 M7.5 水泥32.5</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矿山道路截水沟</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42</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10377</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小型挖掘机挖沟渠土方 三类土</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43</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10343</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建筑物土方回填 人工夯实</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44</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30063换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砖砌沟渠~换:砌筑砂浆 M7.5 水泥32.5</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45</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30076换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砌体砂浆抹面 平均厚2cm 立面~换:防水砂浆 1：3</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96"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46</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40097换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现浇混凝土渠道底板~换:纯混凝土C20 2级配 粒径40 水泥32.5 水灰比0.55 [40228]人工运混凝土 运距10～20m</w:t>
            </w:r>
            <w:r>
              <w:rPr>
                <w:rFonts w:hint="default" w:ascii="Times New Roman" w:hAnsi="Times New Roman" w:eastAsia="宋体" w:cs="Times New Roman"/>
                <w:snapToGrid w:val="0"/>
                <w:color w:val="000000"/>
                <w:spacing w:val="0"/>
                <w:w w:val="100"/>
                <w:kern w:val="0"/>
                <w:position w:val="0"/>
                <w:sz w:val="21"/>
                <w:szCs w:val="21"/>
                <w:lang w:val="en-US" w:eastAsia="zh-CN"/>
              </w:rPr>
              <w:br w:type="textWrapping"/>
            </w:r>
            <w:r>
              <w:rPr>
                <w:rFonts w:hint="default" w:ascii="Times New Roman" w:hAnsi="Times New Roman" w:eastAsia="宋体" w:cs="Times New Roman"/>
                <w:snapToGrid w:val="0"/>
                <w:color w:val="000000"/>
                <w:spacing w:val="0"/>
                <w:w w:val="100"/>
                <w:kern w:val="0"/>
                <w:position w:val="0"/>
                <w:sz w:val="21"/>
                <w:szCs w:val="21"/>
                <w:lang w:val="en-US" w:eastAsia="zh-CN"/>
              </w:rPr>
              <w:t xml:space="preserve"> [40225]搅拌机拌制混凝土 搅拌出料0.4m3</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47</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40280换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伸缩缝 沥青砂浆 1：3~换:砌筑砂浆 M7.5 水泥32.5</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终了平台截水沟</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48</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10377</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小型挖掘机挖沟渠土方 三类土</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49</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10343</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建筑物土方回填 人工夯实</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50</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30063换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砖砌沟渠~换:砌筑砂浆 M7.5 水泥32.5</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51</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30076换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砌体砂浆抹面 平均厚2cm 立面~换:防水砂浆 1：3</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96"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52</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40097换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现浇混凝土渠道底板~换:纯混凝土C20 2级配 粒径40 水泥32.5 水灰比0.55 [40228]人工运混凝土 运距10～20m</w:t>
            </w:r>
            <w:r>
              <w:rPr>
                <w:rFonts w:hint="default" w:ascii="Times New Roman" w:hAnsi="Times New Roman" w:eastAsia="宋体" w:cs="Times New Roman"/>
                <w:snapToGrid w:val="0"/>
                <w:color w:val="000000"/>
                <w:spacing w:val="0"/>
                <w:w w:val="100"/>
                <w:kern w:val="0"/>
                <w:position w:val="0"/>
                <w:sz w:val="21"/>
                <w:szCs w:val="21"/>
                <w:lang w:val="en-US" w:eastAsia="zh-CN"/>
              </w:rPr>
              <w:br w:type="textWrapping"/>
            </w:r>
            <w:r>
              <w:rPr>
                <w:rFonts w:hint="default" w:ascii="Times New Roman" w:hAnsi="Times New Roman" w:eastAsia="宋体" w:cs="Times New Roman"/>
                <w:snapToGrid w:val="0"/>
                <w:color w:val="000000"/>
                <w:spacing w:val="0"/>
                <w:w w:val="100"/>
                <w:kern w:val="0"/>
                <w:position w:val="0"/>
                <w:sz w:val="21"/>
                <w:szCs w:val="21"/>
                <w:lang w:val="en-US" w:eastAsia="zh-CN"/>
              </w:rPr>
              <w:t xml:space="preserve"> [40225]搅拌机拌制混凝土 搅拌出料0.4m3</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53</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40280换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伸缩缝 沥青砂浆 1：3~换:砌筑砂浆 M7.5 水泥32.5</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终了平台排水沟</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54</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10377</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小型挖掘机挖沟渠土方 三类土</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55</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10343</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建筑物土方回填 人工夯实</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56</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30063换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砖砌沟渠~换:砌筑砂浆 M7.5 水泥32.5</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57</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30076换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砌体砂浆抹面 平均厚2cm 立面~换:防水砂浆 1：3</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96"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58</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40097换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现浇混凝土渠道底板~换:纯混凝土C20 2级配 粒径40 水泥32.5 水灰比0.55 [40228]人工运混凝土 运距10～20m</w:t>
            </w:r>
            <w:r>
              <w:rPr>
                <w:rFonts w:hint="default" w:ascii="Times New Roman" w:hAnsi="Times New Roman" w:eastAsia="宋体" w:cs="Times New Roman"/>
                <w:snapToGrid w:val="0"/>
                <w:color w:val="000000"/>
                <w:spacing w:val="0"/>
                <w:w w:val="100"/>
                <w:kern w:val="0"/>
                <w:position w:val="0"/>
                <w:sz w:val="21"/>
                <w:szCs w:val="21"/>
                <w:lang w:val="en-US" w:eastAsia="zh-CN"/>
              </w:rPr>
              <w:br w:type="textWrapping"/>
            </w:r>
            <w:r>
              <w:rPr>
                <w:rFonts w:hint="default" w:ascii="Times New Roman" w:hAnsi="Times New Roman" w:eastAsia="宋体" w:cs="Times New Roman"/>
                <w:snapToGrid w:val="0"/>
                <w:color w:val="000000"/>
                <w:spacing w:val="0"/>
                <w:w w:val="100"/>
                <w:kern w:val="0"/>
                <w:position w:val="0"/>
                <w:sz w:val="21"/>
                <w:szCs w:val="21"/>
                <w:lang w:val="en-US" w:eastAsia="zh-CN"/>
              </w:rPr>
              <w:t xml:space="preserve"> [40225]搅拌机拌制混凝土 搅拌出料0.4m3</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59</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40280换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伸缩缝 沥青砂浆 1：3~换:砌筑砂浆 M7.5 水泥32.5</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沉淀池工程</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座</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沉淀池-A</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座</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60</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10221换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1m3挖掘机挖装自卸汽车运土  运距0～0.5km~自卸汽车5T</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61</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10343</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建筑物土方回填 人工夯实</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96"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62</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40097换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现浇混凝土渠道底板~换:纯混凝土C20 2级配 粒径40 水泥32.5 水灰比0.55 [40228]人工运混凝土 运距10～20m</w:t>
            </w:r>
            <w:r>
              <w:rPr>
                <w:rFonts w:hint="default" w:ascii="Times New Roman" w:hAnsi="Times New Roman" w:eastAsia="宋体" w:cs="Times New Roman"/>
                <w:snapToGrid w:val="0"/>
                <w:color w:val="000000"/>
                <w:spacing w:val="0"/>
                <w:w w:val="100"/>
                <w:kern w:val="0"/>
                <w:position w:val="0"/>
                <w:sz w:val="21"/>
                <w:szCs w:val="21"/>
                <w:lang w:val="en-US" w:eastAsia="zh-CN"/>
              </w:rPr>
              <w:br w:type="textWrapping"/>
            </w:r>
            <w:r>
              <w:rPr>
                <w:rFonts w:hint="default" w:ascii="Times New Roman" w:hAnsi="Times New Roman" w:eastAsia="宋体" w:cs="Times New Roman"/>
                <w:snapToGrid w:val="0"/>
                <w:color w:val="000000"/>
                <w:spacing w:val="0"/>
                <w:w w:val="100"/>
                <w:kern w:val="0"/>
                <w:position w:val="0"/>
                <w:sz w:val="21"/>
                <w:szCs w:val="21"/>
                <w:lang w:val="en-US" w:eastAsia="zh-CN"/>
              </w:rPr>
              <w:t xml:space="preserve"> [40225]搅拌机拌制混凝土 搅拌出料0.4m3</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63</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30075换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砌体砂浆抹面 平均厚2cm 平面~换:防水砂浆 1：3</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64</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30076换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砌体砂浆抹面 平均厚2cm 立面~换:防水砂浆 1：3 [30078换]砌体砂浆抹面 每增减厚1cm~换:防水砂浆 1：3</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65</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30020换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浆砌块石 挡土墙~换:砌筑砂浆 M7.5 水泥32.5</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沉淀池-B</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座</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66</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10221换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1m3挖掘机挖装自卸汽车运土  运距0～0.5km~自卸汽车5T</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67</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10343</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建筑物土方回填 人工夯实</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96"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68</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40097换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现浇混凝土渠道底板~换:纯混凝土C20 2级配 粒径40 水泥32.5 水灰比0.55 [40228]人工运混凝土 运距10～20m</w:t>
            </w:r>
            <w:r>
              <w:rPr>
                <w:rFonts w:hint="default" w:ascii="Times New Roman" w:hAnsi="Times New Roman" w:eastAsia="宋体" w:cs="Times New Roman"/>
                <w:snapToGrid w:val="0"/>
                <w:color w:val="000000"/>
                <w:spacing w:val="0"/>
                <w:w w:val="100"/>
                <w:kern w:val="0"/>
                <w:position w:val="0"/>
                <w:sz w:val="21"/>
                <w:szCs w:val="21"/>
                <w:lang w:val="en-US" w:eastAsia="zh-CN"/>
              </w:rPr>
              <w:br w:type="textWrapping"/>
            </w:r>
            <w:r>
              <w:rPr>
                <w:rFonts w:hint="default" w:ascii="Times New Roman" w:hAnsi="Times New Roman" w:eastAsia="宋体" w:cs="Times New Roman"/>
                <w:snapToGrid w:val="0"/>
                <w:color w:val="000000"/>
                <w:spacing w:val="0"/>
                <w:w w:val="100"/>
                <w:kern w:val="0"/>
                <w:position w:val="0"/>
                <w:sz w:val="21"/>
                <w:szCs w:val="21"/>
                <w:lang w:val="en-US" w:eastAsia="zh-CN"/>
              </w:rPr>
              <w:t xml:space="preserve"> [40225]搅拌机拌制混凝土 搅拌出料0.4m3</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69</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30075换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砌体砂浆抹面 平均厚2cm 平面~换:防水砂浆 1：3</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70</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30076换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砌体砂浆抹面 平均厚2cm 立面~换:防水砂浆 1：3</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71</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30020换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浆砌块石 挡土墙~换:砌筑砂浆 M7.5 水泥32.5</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(四)</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矿山地质灾害防治工程</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挡土墙工程</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排土场挡土墙</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72</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10205换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挖掘机挖土(一、二类土) ~单斗挖掘机 油动 斗容1m3</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73</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10344</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建筑物土方回填 机械夯填</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74</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30020换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浆砌块石 挡土墙~换:砌筑砂浆 M7.5 水泥32.5</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m3</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75</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40279</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伸缩缝 沥青木板</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76</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50064</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PVC管道安装|直径50mm以内</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77</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30075换</w:t>
            </w: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砌体砂浆抹面 平均厚2cm 平面~换:砌筑砂浆 M7.5 水泥32.5</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m2</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防护围栏</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露采场防护围栏和警示牌</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78</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露采场防护拦网</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79</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警示牌</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块</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沉淀池防护围栏和警示牌</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80</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露采场防护拦网</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m</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81</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警示牌</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块</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三</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监测和管护工程</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(一)</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监测工程</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露采场及排土场边坡监测</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年</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82</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地质灾害人工巡查</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月</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水质监测</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季</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83</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水质化验、分析</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次</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土壤监测</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年</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84</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土壤化验分析</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次</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植被监测</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年</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85</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人工巡查植被</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次</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(二)</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管护工程</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公顷</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ascii="Times New Roman" w:hAnsi="Times New Roman" w:eastAsia="宋体" w:cs="Times New Roman"/>
                <w:snapToGrid w:val="0"/>
                <w:color w:val="000000"/>
                <w:spacing w:val="0"/>
                <w:w w:val="100"/>
                <w:kern w:val="0"/>
                <w:position w:val="0"/>
                <w:sz w:val="21"/>
                <w:szCs w:val="21"/>
                <w:lang w:val="en-US" w:eastAsia="zh-CN"/>
              </w:rPr>
              <w:t>1</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林地管护</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公顷</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88</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林地管护</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公顷·年</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ascii="Times New Roman" w:hAnsi="Times New Roman" w:eastAsia="宋体" w:cs="Times New Roman"/>
                <w:snapToGrid w:val="0"/>
                <w:color w:val="000000"/>
                <w:spacing w:val="0"/>
                <w:w w:val="100"/>
                <w:kern w:val="0"/>
                <w:position w:val="0"/>
                <w:sz w:val="21"/>
                <w:szCs w:val="21"/>
                <w:lang w:val="en-US" w:eastAsia="zh-CN"/>
              </w:rPr>
              <w:t>2</w:t>
            </w:r>
          </w:p>
        </w:tc>
        <w:tc>
          <w:tcPr>
            <w:tcW w:w="587"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设施管护</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次</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4" w:hRule="atLeast"/>
        </w:trPr>
        <w:tc>
          <w:tcPr>
            <w:tcW w:w="405"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89</w:t>
            </w:r>
          </w:p>
        </w:tc>
        <w:tc>
          <w:tcPr>
            <w:tcW w:w="587"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1584" w:type="pc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截(排)水沟、沉淀池定期清淤</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次</w:t>
            </w: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2576" w:type="pct"/>
            <w:gridSpan w:val="3"/>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ascii="Times New Roman" w:hAnsi="Times New Roman" w:eastAsia="宋体" w:cs="Times New Roman"/>
                <w:b/>
                <w:bCs/>
                <w:snapToGrid w:val="0"/>
                <w:color w:val="000000"/>
                <w:spacing w:val="0"/>
                <w:w w:val="100"/>
                <w:kern w:val="0"/>
                <w:position w:val="0"/>
                <w:sz w:val="22"/>
                <w:szCs w:val="22"/>
                <w:lang w:val="en-US" w:eastAsia="zh-CN"/>
              </w:rPr>
              <w:t>工程施工费</w:t>
            </w:r>
            <w:r>
              <w:rPr>
                <w:rFonts w:hint="default" w:ascii="Times New Roman" w:hAnsi="Times New Roman" w:eastAsia="宋体" w:cs="Times New Roman"/>
                <w:b/>
                <w:bCs/>
                <w:snapToGrid w:val="0"/>
                <w:color w:val="000000"/>
                <w:spacing w:val="0"/>
                <w:w w:val="100"/>
                <w:kern w:val="0"/>
                <w:position w:val="0"/>
                <w:sz w:val="22"/>
                <w:szCs w:val="22"/>
                <w:lang w:val="en-US" w:eastAsia="zh-CN"/>
              </w:rPr>
              <w:t>总计</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2576" w:type="pct"/>
            <w:gridSpan w:val="3"/>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eastAsia" w:ascii="Times New Roman" w:hAnsi="Times New Roman" w:eastAsia="宋体" w:cs="Times New Roman"/>
                <w:snapToGrid w:val="0"/>
                <w:color w:val="000000"/>
                <w:spacing w:val="0"/>
                <w:w w:val="100"/>
                <w:kern w:val="0"/>
                <w:position w:val="0"/>
                <w:sz w:val="21"/>
                <w:szCs w:val="21"/>
                <w:lang w:val="en-US" w:eastAsia="zh-CN"/>
              </w:rPr>
            </w:pPr>
            <w:r>
              <w:rPr>
                <w:rFonts w:hint="eastAsia" w:ascii="Times New Roman" w:hAnsi="Times New Roman" w:eastAsia="宋体" w:cs="Times New Roman"/>
                <w:b/>
                <w:bCs/>
                <w:snapToGrid w:val="0"/>
                <w:color w:val="000000"/>
                <w:spacing w:val="0"/>
                <w:w w:val="100"/>
                <w:kern w:val="0"/>
                <w:position w:val="0"/>
                <w:sz w:val="22"/>
                <w:szCs w:val="22"/>
                <w:lang w:val="en-US" w:eastAsia="zh-CN"/>
              </w:rPr>
              <w:t>其他费用</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2" w:hRule="atLeast"/>
        </w:trPr>
        <w:tc>
          <w:tcPr>
            <w:tcW w:w="2576" w:type="pct"/>
            <w:gridSpan w:val="3"/>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eastAsia" w:ascii="Times New Roman" w:hAnsi="Times New Roman" w:eastAsia="宋体" w:cs="Times New Roman"/>
                <w:snapToGrid w:val="0"/>
                <w:color w:val="000000"/>
                <w:spacing w:val="0"/>
                <w:w w:val="100"/>
                <w:kern w:val="0"/>
                <w:position w:val="0"/>
                <w:sz w:val="21"/>
                <w:szCs w:val="21"/>
                <w:lang w:val="en-US" w:eastAsia="zh-CN"/>
              </w:rPr>
            </w:pPr>
            <w:r>
              <w:rPr>
                <w:rFonts w:hint="eastAsia" w:ascii="Times New Roman" w:hAnsi="Times New Roman" w:eastAsia="宋体" w:cs="Times New Roman"/>
                <w:b/>
                <w:bCs/>
                <w:snapToGrid w:val="0"/>
                <w:color w:val="000000"/>
                <w:spacing w:val="0"/>
                <w:w w:val="100"/>
                <w:kern w:val="0"/>
                <w:position w:val="0"/>
                <w:sz w:val="22"/>
                <w:szCs w:val="22"/>
                <w:lang w:val="en-US" w:eastAsia="zh-CN"/>
              </w:rPr>
              <w:t>不可预见费</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2" w:hRule="atLeast"/>
        </w:trPr>
        <w:tc>
          <w:tcPr>
            <w:tcW w:w="2576" w:type="pct"/>
            <w:gridSpan w:val="3"/>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eastAsia" w:ascii="Times New Roman" w:hAnsi="Times New Roman" w:eastAsia="宋体" w:cs="Times New Roman"/>
                <w:snapToGrid w:val="0"/>
                <w:color w:val="000000"/>
                <w:spacing w:val="0"/>
                <w:w w:val="100"/>
                <w:kern w:val="0"/>
                <w:position w:val="0"/>
                <w:sz w:val="21"/>
                <w:szCs w:val="21"/>
                <w:lang w:val="en-US" w:eastAsia="zh-CN"/>
              </w:rPr>
            </w:pPr>
            <w:r>
              <w:rPr>
                <w:rFonts w:hint="eastAsia" w:ascii="Times New Roman" w:hAnsi="Times New Roman" w:eastAsia="宋体" w:cs="Times New Roman"/>
                <w:b/>
                <w:bCs/>
                <w:snapToGrid w:val="0"/>
                <w:color w:val="000000"/>
                <w:spacing w:val="0"/>
                <w:w w:val="100"/>
                <w:kern w:val="0"/>
                <w:position w:val="0"/>
                <w:sz w:val="22"/>
                <w:szCs w:val="22"/>
                <w:lang w:val="en-US" w:eastAsia="zh-CN"/>
              </w:rPr>
              <w:t>预留费用</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2" w:hRule="atLeast"/>
        </w:trPr>
        <w:tc>
          <w:tcPr>
            <w:tcW w:w="2576" w:type="pct"/>
            <w:gridSpan w:val="3"/>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eastAsia" w:ascii="Times New Roman" w:hAnsi="Times New Roman" w:eastAsia="宋体" w:cs="Times New Roman"/>
                <w:snapToGrid w:val="0"/>
                <w:color w:val="000000"/>
                <w:spacing w:val="0"/>
                <w:w w:val="100"/>
                <w:kern w:val="0"/>
                <w:position w:val="0"/>
                <w:sz w:val="21"/>
                <w:szCs w:val="21"/>
                <w:lang w:val="en-US" w:eastAsia="zh-CN"/>
              </w:rPr>
            </w:pPr>
            <w:r>
              <w:rPr>
                <w:rFonts w:hint="eastAsia" w:ascii="Times New Roman" w:hAnsi="Times New Roman" w:eastAsia="宋体" w:cs="Times New Roman"/>
                <w:b/>
                <w:bCs/>
                <w:snapToGrid w:val="0"/>
                <w:color w:val="000000"/>
                <w:spacing w:val="0"/>
                <w:w w:val="100"/>
                <w:kern w:val="0"/>
                <w:position w:val="0"/>
                <w:sz w:val="24"/>
                <w:szCs w:val="24"/>
                <w:lang w:val="en-US" w:eastAsia="zh-CN"/>
              </w:rPr>
              <w:t>估算总投资</w:t>
            </w:r>
          </w:p>
        </w:tc>
        <w:tc>
          <w:tcPr>
            <w:tcW w:w="43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589"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651"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p>
        </w:tc>
        <w:tc>
          <w:tcPr>
            <w:tcW w:w="746" w:type="pc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r>
    </w:tbl>
    <w:p>
      <w:pPr>
        <w:widowControl/>
        <w:kinsoku w:val="0"/>
        <w:autoSpaceDE w:val="0"/>
        <w:autoSpaceDN w:val="0"/>
        <w:adjustRightInd w:val="0"/>
        <w:snapToGrid w:val="0"/>
        <w:spacing w:line="240" w:lineRule="auto"/>
        <w:jc w:val="left"/>
        <w:textAlignment w:val="baseline"/>
        <w:rPr>
          <w:rFonts w:hint="default" w:ascii="Times New Roman" w:hAnsi="Times New Roman" w:eastAsia="宋体" w:cs="Times New Roman"/>
          <w:snapToGrid w:val="0"/>
          <w:color w:val="000000"/>
          <w:spacing w:val="17"/>
          <w:kern w:val="0"/>
          <w:sz w:val="28"/>
          <w:szCs w:val="28"/>
          <w:lang w:val="en-US" w:eastAsia="zh-CN"/>
        </w:rPr>
      </w:pPr>
    </w:p>
    <w:p>
      <w:pPr>
        <w:widowControl/>
        <w:kinsoku w:val="0"/>
        <w:autoSpaceDE w:val="0"/>
        <w:autoSpaceDN w:val="0"/>
        <w:adjustRightInd w:val="0"/>
        <w:snapToGrid w:val="0"/>
        <w:spacing w:line="240" w:lineRule="auto"/>
        <w:jc w:val="left"/>
        <w:textAlignment w:val="baseline"/>
        <w:rPr>
          <w:rFonts w:hint="default" w:ascii="Times New Roman" w:hAnsi="Times New Roman" w:eastAsia="宋体" w:cs="Times New Roman"/>
          <w:snapToGrid w:val="0"/>
          <w:color w:val="000000"/>
          <w:spacing w:val="17"/>
          <w:kern w:val="0"/>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0" w:lineRule="atLeast"/>
        <w:ind w:firstLine="482" w:firstLineChars="200"/>
        <w:jc w:val="center"/>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表5-</w:t>
      </w:r>
      <w:r>
        <w:rPr>
          <w:rFonts w:hint="eastAsia" w:ascii="Times New Roman" w:hAnsi="Times New Roman" w:eastAsia="宋体" w:cs="Times New Roman"/>
          <w:b/>
          <w:sz w:val="24"/>
          <w:szCs w:val="24"/>
          <w:lang w:val="en-US" w:eastAsia="zh-CN"/>
        </w:rPr>
        <w:t>8</w:t>
      </w:r>
      <w:r>
        <w:rPr>
          <w:rFonts w:hint="default" w:ascii="Times New Roman" w:hAnsi="Times New Roman" w:eastAsia="宋体" w:cs="Times New Roman"/>
          <w:b/>
          <w:sz w:val="24"/>
          <w:szCs w:val="24"/>
          <w:lang w:val="en-US" w:eastAsia="zh-CN"/>
        </w:rPr>
        <w:t>矿山生态修复工程分年度投资估算表</w:t>
      </w:r>
    </w:p>
    <w:p>
      <w:pPr>
        <w:spacing w:line="0" w:lineRule="atLeast"/>
        <w:ind w:firstLine="420" w:firstLineChars="200"/>
        <w:jc w:val="right"/>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单位：</w:t>
      </w:r>
      <w:r>
        <w:rPr>
          <w:rFonts w:hint="eastAsia" w:ascii="Times New Roman" w:hAnsi="Times New Roman" w:eastAsia="宋体" w:cs="Times New Roman"/>
          <w:b w:val="0"/>
          <w:bCs/>
          <w:sz w:val="21"/>
          <w:szCs w:val="21"/>
          <w:lang w:val="en-US" w:eastAsia="zh-CN"/>
        </w:rPr>
        <w:t>万</w:t>
      </w:r>
      <w:r>
        <w:rPr>
          <w:rFonts w:hint="default" w:ascii="Times New Roman" w:hAnsi="Times New Roman" w:eastAsia="宋体" w:cs="Times New Roman"/>
          <w:b w:val="0"/>
          <w:bCs/>
          <w:sz w:val="21"/>
          <w:szCs w:val="21"/>
          <w:lang w:val="en-US" w:eastAsia="zh-CN"/>
        </w:rPr>
        <w:t>元</w:t>
      </w:r>
    </w:p>
    <w:tbl>
      <w:tblPr>
        <w:tblStyle w:val="12"/>
        <w:tblW w:w="0" w:type="auto"/>
        <w:tblInd w:w="0" w:type="dxa"/>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402"/>
        <w:gridCol w:w="2059"/>
        <w:gridCol w:w="2335"/>
        <w:gridCol w:w="3341"/>
        <w:gridCol w:w="889"/>
        <w:gridCol w:w="522"/>
        <w:gridCol w:w="603"/>
        <w:gridCol w:w="75"/>
        <w:gridCol w:w="693"/>
        <w:gridCol w:w="768"/>
        <w:gridCol w:w="768"/>
        <w:gridCol w:w="768"/>
        <w:gridCol w:w="768"/>
        <w:gridCol w:w="768"/>
        <w:gridCol w:w="768"/>
        <w:gridCol w:w="768"/>
        <w:gridCol w:w="768"/>
        <w:gridCol w:w="768"/>
        <w:gridCol w:w="87"/>
        <w:gridCol w:w="681"/>
        <w:gridCol w:w="768"/>
        <w:gridCol w:w="780"/>
      </w:tblGrid>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3461" w:type="dxa"/>
            <w:gridSpan w:val="2"/>
            <w:vMerge w:val="restar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治理工程</w:t>
            </w:r>
          </w:p>
        </w:tc>
        <w:tc>
          <w:tcPr>
            <w:tcW w:w="2335" w:type="dxa"/>
            <w:vMerge w:val="restar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分项工程</w:t>
            </w:r>
          </w:p>
        </w:tc>
        <w:tc>
          <w:tcPr>
            <w:tcW w:w="3341" w:type="dxa"/>
            <w:vMerge w:val="restar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技术手段</w:t>
            </w:r>
          </w:p>
        </w:tc>
        <w:tc>
          <w:tcPr>
            <w:tcW w:w="889" w:type="dxa"/>
            <w:vMerge w:val="restart"/>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ascii="Times New Roman" w:hAnsi="Times New Roman" w:eastAsia="宋体" w:cs="Times New Roman"/>
                <w:b/>
                <w:bCs/>
                <w:snapToGrid w:val="0"/>
                <w:color w:val="000000"/>
                <w:spacing w:val="0"/>
                <w:w w:val="100"/>
                <w:kern w:val="0"/>
                <w:position w:val="0"/>
                <w:sz w:val="21"/>
                <w:szCs w:val="21"/>
                <w:lang w:val="en-US" w:eastAsia="zh-CN"/>
              </w:rPr>
              <w:t>总费用</w:t>
            </w:r>
          </w:p>
        </w:tc>
        <w:tc>
          <w:tcPr>
            <w:tcW w:w="11121" w:type="dxa"/>
            <w:gridSpan w:val="17"/>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年度</w:t>
            </w:r>
            <w:r>
              <w:rPr>
                <w:rFonts w:hint="eastAsia" w:ascii="Times New Roman" w:hAnsi="Times New Roman" w:eastAsia="宋体" w:cs="Times New Roman"/>
                <w:b/>
                <w:bCs/>
                <w:snapToGrid w:val="0"/>
                <w:color w:val="000000"/>
                <w:spacing w:val="0"/>
                <w:w w:val="100"/>
                <w:kern w:val="0"/>
                <w:position w:val="0"/>
                <w:sz w:val="21"/>
                <w:szCs w:val="21"/>
                <w:lang w:val="en-US" w:eastAsia="zh-CN"/>
              </w:rPr>
              <w:t>投资费用</w:t>
            </w:r>
            <w:r>
              <w:rPr>
                <w:rFonts w:hint="default" w:ascii="Times New Roman" w:hAnsi="Times New Roman" w:eastAsia="宋体" w:cs="Times New Roman"/>
                <w:b/>
                <w:bCs/>
                <w:snapToGrid w:val="0"/>
                <w:color w:val="000000"/>
                <w:spacing w:val="0"/>
                <w:w w:val="100"/>
                <w:kern w:val="0"/>
                <w:position w:val="0"/>
                <w:sz w:val="21"/>
                <w:szCs w:val="21"/>
                <w:lang w:val="en-US" w:eastAsia="zh-CN"/>
              </w:rPr>
              <w:t>（第N年）</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3461" w:type="dxa"/>
            <w:gridSpan w:val="2"/>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p>
        </w:tc>
        <w:tc>
          <w:tcPr>
            <w:tcW w:w="2335"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p>
        </w:tc>
        <w:tc>
          <w:tcPr>
            <w:tcW w:w="3341" w:type="dxa"/>
            <w:vMerge w:val="continue"/>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p>
        </w:tc>
        <w:tc>
          <w:tcPr>
            <w:tcW w:w="889" w:type="dxa"/>
            <w:vMerge w:val="continue"/>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1</w:t>
            </w:r>
          </w:p>
        </w:tc>
        <w:tc>
          <w:tcPr>
            <w:tcW w:w="60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2</w:t>
            </w:r>
          </w:p>
        </w:tc>
        <w:tc>
          <w:tcPr>
            <w:tcW w:w="76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3</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4</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5</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6</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7</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8</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9</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10</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11</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12</w:t>
            </w:r>
          </w:p>
        </w:tc>
        <w:tc>
          <w:tcPr>
            <w:tcW w:w="76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13</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14</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default" w:ascii="Times New Roman" w:hAnsi="Times New Roman" w:eastAsia="宋体" w:cs="Times New Roman"/>
                <w:b/>
                <w:bCs/>
                <w:snapToGrid w:val="0"/>
                <w:color w:val="000000"/>
                <w:spacing w:val="0"/>
                <w:w w:val="100"/>
                <w:kern w:val="0"/>
                <w:position w:val="0"/>
                <w:sz w:val="21"/>
                <w:szCs w:val="21"/>
                <w:lang w:val="en-US" w:eastAsia="zh-CN"/>
              </w:rPr>
              <w:t>15</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402" w:type="dxa"/>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（一）生态保护保育工程</w:t>
            </w:r>
          </w:p>
        </w:tc>
        <w:tc>
          <w:tcPr>
            <w:tcW w:w="2059" w:type="dxa"/>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1、生态保护宣传</w:t>
            </w:r>
          </w:p>
        </w:tc>
        <w:tc>
          <w:tcPr>
            <w:tcW w:w="2335" w:type="dxa"/>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宣传警示牌</w:t>
            </w:r>
          </w:p>
        </w:tc>
        <w:tc>
          <w:tcPr>
            <w:tcW w:w="334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宣传警示牌</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1402" w:type="dxa"/>
            <w:vMerge w:val="restar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（二）生态修复工程</w:t>
            </w:r>
          </w:p>
        </w:tc>
        <w:tc>
          <w:tcPr>
            <w:tcW w:w="2059" w:type="dxa"/>
            <w:vMerge w:val="restar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1、地形地貌景观修复工程</w:t>
            </w:r>
          </w:p>
        </w:tc>
        <w:tc>
          <w:tcPr>
            <w:tcW w:w="2335" w:type="dxa"/>
            <w:vMerge w:val="restar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绿化工程</w:t>
            </w:r>
          </w:p>
        </w:tc>
        <w:tc>
          <w:tcPr>
            <w:tcW w:w="334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矿山公路绿化</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335"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334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工业广场绿化</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restar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2、土地复垦与生物多样性恢复工程</w:t>
            </w:r>
          </w:p>
        </w:tc>
        <w:tc>
          <w:tcPr>
            <w:tcW w:w="2335" w:type="dxa"/>
            <w:vMerge w:val="restar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开采台阶复垦</w:t>
            </w:r>
          </w:p>
        </w:tc>
        <w:tc>
          <w:tcPr>
            <w:tcW w:w="3341" w:type="dxa"/>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覆土及平整、预留截水毛沟、砌筑格宾网挡土墙</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6"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335"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3341" w:type="dxa"/>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植被工程：种植灌木及攀爬植物、撒播草籽</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335" w:type="dxa"/>
            <w:vMerge w:val="restar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终了平台复垦</w:t>
            </w:r>
          </w:p>
        </w:tc>
        <w:tc>
          <w:tcPr>
            <w:tcW w:w="3341" w:type="dxa"/>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覆土及平整</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6"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335"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3341" w:type="dxa"/>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植被工程：种植乔木、灌木，撒播草籽</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335" w:type="dxa"/>
            <w:vMerge w:val="restar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排土场复垦</w:t>
            </w:r>
          </w:p>
        </w:tc>
        <w:tc>
          <w:tcPr>
            <w:tcW w:w="3341" w:type="dxa"/>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平整</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335"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3341" w:type="dxa"/>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植被工程：种植乔木、灌木，撒播草籽</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335" w:type="dxa"/>
            <w:vMerge w:val="restar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工业广场复垦</w:t>
            </w:r>
          </w:p>
        </w:tc>
        <w:tc>
          <w:tcPr>
            <w:tcW w:w="3341" w:type="dxa"/>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砌体清运、覆土及平整</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6"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335"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3341" w:type="dxa"/>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植被工程：种植乔木、灌木，撒播草籽</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restar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3、水资源水生态修复与改善工程</w:t>
            </w:r>
          </w:p>
        </w:tc>
        <w:tc>
          <w:tcPr>
            <w:tcW w:w="2335" w:type="dxa"/>
            <w:vMerge w:val="restar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沉淀池工程</w:t>
            </w:r>
          </w:p>
        </w:tc>
        <w:tc>
          <w:tcPr>
            <w:tcW w:w="3341" w:type="dxa"/>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露采场沉淀池</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335"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334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排土场沉淀池</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335"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334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工业广场沉淀池</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335" w:type="dxa"/>
            <w:vMerge w:val="restar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截（排）水沟工程</w:t>
            </w:r>
          </w:p>
        </w:tc>
        <w:tc>
          <w:tcPr>
            <w:tcW w:w="334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环露采场截水沟</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335"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334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排土场截水沟</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335"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334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矿山道路截水沟</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335"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334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终了平台截水沟</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335"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334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终了平台排水沟</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restar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4、矿山地质灾害防治工程</w:t>
            </w:r>
          </w:p>
        </w:tc>
        <w:tc>
          <w:tcPr>
            <w:tcW w:w="2335" w:type="dxa"/>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挡土墙工程</w:t>
            </w:r>
          </w:p>
        </w:tc>
        <w:tc>
          <w:tcPr>
            <w:tcW w:w="334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排土场挡土墙</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335" w:type="dxa"/>
            <w:vMerge w:val="restar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防护围栏</w:t>
            </w:r>
          </w:p>
        </w:tc>
        <w:tc>
          <w:tcPr>
            <w:tcW w:w="334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露采场防护围栏</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335"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334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沉淀池防护围栏</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6" w:hRule="atLeast"/>
        </w:trPr>
        <w:tc>
          <w:tcPr>
            <w:tcW w:w="1402" w:type="dxa"/>
            <w:vMerge w:val="restar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（三）监测和管护工程</w:t>
            </w:r>
          </w:p>
        </w:tc>
        <w:tc>
          <w:tcPr>
            <w:tcW w:w="2059" w:type="dxa"/>
            <w:vMerge w:val="restar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1、监测工程</w:t>
            </w:r>
          </w:p>
        </w:tc>
        <w:tc>
          <w:tcPr>
            <w:tcW w:w="2335" w:type="dxa"/>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露采场和排土场边坡监测</w:t>
            </w:r>
          </w:p>
        </w:tc>
        <w:tc>
          <w:tcPr>
            <w:tcW w:w="334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地质灾害人工巡查</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335" w:type="dxa"/>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水质监测</w:t>
            </w:r>
          </w:p>
        </w:tc>
        <w:tc>
          <w:tcPr>
            <w:tcW w:w="334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水质化验、分析（3处）</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335" w:type="dxa"/>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土壤监测</w:t>
            </w:r>
          </w:p>
        </w:tc>
        <w:tc>
          <w:tcPr>
            <w:tcW w:w="334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土壤化验分析</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335" w:type="dxa"/>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植被巡查</w:t>
            </w:r>
          </w:p>
        </w:tc>
        <w:tc>
          <w:tcPr>
            <w:tcW w:w="334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人工巡查植被</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restart"/>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2、管护工程</w:t>
            </w:r>
          </w:p>
        </w:tc>
        <w:tc>
          <w:tcPr>
            <w:tcW w:w="2335" w:type="dxa"/>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林地管护</w:t>
            </w:r>
          </w:p>
        </w:tc>
        <w:tc>
          <w:tcPr>
            <w:tcW w:w="334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林地管护</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402"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059" w:type="dxa"/>
            <w:vMerge w:val="continue"/>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p>
        </w:tc>
        <w:tc>
          <w:tcPr>
            <w:tcW w:w="2335" w:type="dxa"/>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设施管护工程</w:t>
            </w:r>
          </w:p>
        </w:tc>
        <w:tc>
          <w:tcPr>
            <w:tcW w:w="3341" w:type="dxa"/>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default" w:ascii="Times New Roman" w:hAnsi="Times New Roman" w:eastAsia="宋体" w:cs="Times New Roman"/>
                <w:snapToGrid w:val="0"/>
                <w:color w:val="000000"/>
                <w:spacing w:val="0"/>
                <w:w w:val="100"/>
                <w:kern w:val="0"/>
                <w:position w:val="0"/>
                <w:sz w:val="21"/>
                <w:szCs w:val="21"/>
                <w:lang w:val="en-US" w:eastAsia="zh-CN"/>
              </w:rPr>
              <w:t>截</w:t>
            </w:r>
            <w:r>
              <w:rPr>
                <w:rFonts w:hint="eastAsia" w:ascii="Times New Roman" w:hAnsi="Times New Roman" w:eastAsia="宋体" w:cs="Times New Roman"/>
                <w:snapToGrid w:val="0"/>
                <w:color w:val="000000"/>
                <w:spacing w:val="0"/>
                <w:w w:val="100"/>
                <w:kern w:val="0"/>
                <w:position w:val="0"/>
                <w:sz w:val="21"/>
                <w:szCs w:val="21"/>
                <w:lang w:val="en-US" w:eastAsia="zh-CN"/>
              </w:rPr>
              <w:t>（</w:t>
            </w:r>
            <w:r>
              <w:rPr>
                <w:rFonts w:hint="default" w:ascii="Times New Roman" w:hAnsi="Times New Roman" w:eastAsia="宋体" w:cs="Times New Roman"/>
                <w:snapToGrid w:val="0"/>
                <w:color w:val="000000"/>
                <w:spacing w:val="0"/>
                <w:w w:val="100"/>
                <w:kern w:val="0"/>
                <w:position w:val="0"/>
                <w:sz w:val="21"/>
                <w:szCs w:val="21"/>
                <w:lang w:val="en-US" w:eastAsia="zh-CN"/>
              </w:rPr>
              <w:t>排</w:t>
            </w:r>
            <w:r>
              <w:rPr>
                <w:rFonts w:hint="eastAsia" w:ascii="Times New Roman" w:hAnsi="Times New Roman" w:eastAsia="宋体" w:cs="Times New Roman"/>
                <w:snapToGrid w:val="0"/>
                <w:color w:val="000000"/>
                <w:spacing w:val="0"/>
                <w:w w:val="100"/>
                <w:kern w:val="0"/>
                <w:position w:val="0"/>
                <w:sz w:val="21"/>
                <w:szCs w:val="21"/>
                <w:lang w:val="en-US" w:eastAsia="zh-CN"/>
              </w:rPr>
              <w:t>）</w:t>
            </w:r>
            <w:r>
              <w:rPr>
                <w:rFonts w:hint="default" w:ascii="Times New Roman" w:hAnsi="Times New Roman" w:eastAsia="宋体" w:cs="Times New Roman"/>
                <w:snapToGrid w:val="0"/>
                <w:color w:val="000000"/>
                <w:spacing w:val="0"/>
                <w:w w:val="100"/>
                <w:kern w:val="0"/>
                <w:position w:val="0"/>
                <w:sz w:val="21"/>
                <w:szCs w:val="21"/>
                <w:lang w:val="en-US" w:eastAsia="zh-CN"/>
              </w:rPr>
              <w:t>水沟、沉淀池定期清淤</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snapToGrid w:val="0"/>
                <w:color w:val="000000"/>
                <w:spacing w:val="0"/>
                <w:w w:val="100"/>
                <w:kern w:val="0"/>
                <w:position w:val="0"/>
                <w:sz w:val="21"/>
                <w:szCs w:val="21"/>
                <w:lang w:val="en-US" w:eastAsia="zh-CN"/>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6" w:hRule="atLeast"/>
        </w:trPr>
        <w:tc>
          <w:tcPr>
            <w:tcW w:w="9137" w:type="dxa"/>
            <w:gridSpan w:val="4"/>
            <w:tcBorders>
              <w:tl2br w:val="nil"/>
              <w:tr2bl w:val="nil"/>
            </w:tcBorders>
            <w:shd w:val="clear" w:color="auto" w:fill="auto"/>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ascii="Times New Roman" w:hAnsi="Times New Roman" w:eastAsia="宋体" w:cs="Times New Roman"/>
                <w:b/>
                <w:bCs/>
                <w:snapToGrid w:val="0"/>
                <w:color w:val="000000"/>
                <w:spacing w:val="0"/>
                <w:w w:val="100"/>
                <w:kern w:val="0"/>
                <w:position w:val="0"/>
                <w:sz w:val="21"/>
                <w:szCs w:val="21"/>
                <w:lang w:val="en-US" w:eastAsia="zh-CN"/>
              </w:rPr>
              <w:t>年度费用合计</w:t>
            </w:r>
          </w:p>
        </w:tc>
        <w:tc>
          <w:tcPr>
            <w:tcW w:w="889"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522"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678"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693"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855" w:type="dxa"/>
            <w:gridSpan w:val="2"/>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681"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768"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c>
          <w:tcPr>
            <w:tcW w:w="780" w:type="dxa"/>
            <w:tcBorders>
              <w:tl2br w:val="nil"/>
              <w:tr2bl w:val="nil"/>
            </w:tcBorders>
            <w:shd w:val="clear" w:color="auto" w:fill="auto"/>
            <w:noWrap/>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宋体" w:cs="Times New Roman"/>
                <w:b/>
                <w:bCs/>
                <w:snapToGrid w:val="0"/>
                <w:color w:val="000000"/>
                <w:spacing w:val="0"/>
                <w:w w:val="100"/>
                <w:kern w:val="0"/>
                <w:position w:val="0"/>
                <w:sz w:val="21"/>
                <w:szCs w:val="21"/>
                <w:lang w:val="en-US" w:eastAsia="zh-CN"/>
              </w:rPr>
            </w:pPr>
            <w:r>
              <w:rPr>
                <w:rFonts w:hint="eastAsia"/>
              </w:rPr>
              <w:t>***</w:t>
            </w:r>
          </w:p>
        </w:tc>
      </w:tr>
    </w:tbl>
    <w:p>
      <w:pPr>
        <w:keepNext w:val="0"/>
        <w:keepLines w:val="0"/>
        <w:pageBreakBefore w:val="0"/>
        <w:widowControl/>
        <w:kinsoku w:val="0"/>
        <w:wordWrap/>
        <w:overflowPunct/>
        <w:topLinePunct w:val="0"/>
        <w:autoSpaceDE w:val="0"/>
        <w:autoSpaceDN w:val="0"/>
        <w:bidi w:val="0"/>
        <w:adjustRightInd w:val="0"/>
        <w:snapToGrid w:val="0"/>
        <w:spacing w:before="157" w:beforeLines="50" w:line="360" w:lineRule="auto"/>
        <w:jc w:val="both"/>
        <w:textAlignment w:val="baseline"/>
        <w:rPr>
          <w:rFonts w:hint="default" w:ascii="Times New Roman" w:hAnsi="Times New Roman" w:eastAsia="宋体" w:cs="Times New Roman"/>
          <w:snapToGrid w:val="0"/>
          <w:color w:val="000000"/>
          <w:spacing w:val="17"/>
          <w:kern w:val="0"/>
          <w:sz w:val="28"/>
          <w:szCs w:val="28"/>
          <w:lang w:val="en-US" w:eastAsia="zh-CN"/>
        </w:rPr>
      </w:pPr>
      <w:r>
        <w:rPr>
          <w:rFonts w:hint="eastAsia" w:ascii="Times New Roman" w:hAnsi="Times New Roman" w:eastAsia="宋体" w:cs="Times New Roman"/>
          <w:b/>
          <w:bCs/>
          <w:snapToGrid w:val="0"/>
          <w:color w:val="000000"/>
          <w:spacing w:val="0"/>
          <w:w w:val="100"/>
          <w:kern w:val="0"/>
          <w:position w:val="0"/>
          <w:sz w:val="21"/>
          <w:szCs w:val="21"/>
          <w:lang w:val="en-US" w:eastAsia="zh-CN"/>
        </w:rPr>
        <w:t>备注：以上年度投资费用不包括预留费用。</w:t>
      </w:r>
    </w:p>
    <w:p>
      <w:pPr>
        <w:widowControl/>
        <w:kinsoku w:val="0"/>
        <w:autoSpaceDE w:val="0"/>
        <w:autoSpaceDN w:val="0"/>
        <w:adjustRightInd w:val="0"/>
        <w:snapToGrid w:val="0"/>
        <w:spacing w:line="240" w:lineRule="auto"/>
        <w:jc w:val="left"/>
        <w:textAlignment w:val="baseline"/>
        <w:rPr>
          <w:rFonts w:hint="default" w:ascii="Times New Roman" w:hAnsi="Times New Roman" w:eastAsia="宋体" w:cs="Times New Roman"/>
          <w:snapToGrid w:val="0"/>
          <w:color w:val="000000"/>
          <w:spacing w:val="17"/>
          <w:kern w:val="0"/>
          <w:sz w:val="28"/>
          <w:szCs w:val="28"/>
          <w:lang w:val="en-US" w:eastAsia="zh-CN"/>
        </w:rPr>
        <w:sectPr>
          <w:pgSz w:w="23811" w:h="16838"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rPr>
          <w:rFonts w:hint="default" w:ascii="Times New Roman" w:hAnsi="Times New Roman" w:eastAsia="宋体" w:cs="Times New Roman"/>
        </w:rPr>
      </w:pPr>
      <w:bookmarkStart w:id="23" w:name="_Toc155772676"/>
      <w:r>
        <w:rPr>
          <w:rFonts w:hint="default" w:ascii="Times New Roman" w:hAnsi="Times New Roman" w:eastAsia="宋体" w:cs="Times New Roman"/>
        </w:rPr>
        <w:t>二、基金管理</w:t>
      </w:r>
      <w:bookmarkEnd w:id="23"/>
    </w:p>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（一）资金来源</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根据《湖南省矿山生态修复基金管理办法》（湘自资</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2022</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3号），本项目的生态保护修复费用均由矿山从矿石销售收入中提取解决。</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矿山企业应按照本《方案》估算的金额足额提取，根据经费估算核定基金确保满足矿山生态修复需求，资金按照本《方案》实行一次核定、分年计提、逐年摊销并计入相关资产的入账成本。根据当年发生的费用计入生产成本，基金计提应在自然资源主管部门审核通过后一个月内计提完成。</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2、矿山可将财政和自然资源部门退还的矿山生态问题治理恢复备用金（保证金）转存为基金，专项用于矿山生态环境修复。</w:t>
      </w:r>
    </w:p>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（二）基金计提计划</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据估算，</w:t>
      </w:r>
      <w:r>
        <w:rPr>
          <w:rFonts w:hint="default" w:ascii="Times New Roman" w:hAnsi="Times New Roman" w:eastAsia="宋体" w:cs="Times New Roman"/>
          <w:sz w:val="28"/>
          <w:szCs w:val="28"/>
          <w:lang w:val="en-US" w:eastAsia="zh-CN"/>
        </w:rPr>
        <w:t>矿山</w:t>
      </w:r>
      <w:r>
        <w:rPr>
          <w:rFonts w:hint="default" w:ascii="Times New Roman" w:hAnsi="Times New Roman" w:eastAsia="宋体" w:cs="Times New Roman"/>
          <w:sz w:val="28"/>
          <w:szCs w:val="28"/>
        </w:rPr>
        <w:t>生产服务年限为***年，恢复治理为1年</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管护为3年，</w:t>
      </w:r>
      <w:r>
        <w:rPr>
          <w:rFonts w:hint="default" w:ascii="Times New Roman" w:hAnsi="Times New Roman" w:eastAsia="宋体" w:cs="Times New Roman"/>
          <w:sz w:val="28"/>
          <w:szCs w:val="28"/>
          <w:lang w:val="en-US" w:eastAsia="zh-CN"/>
        </w:rPr>
        <w:t>加上前</w:t>
      </w:r>
      <w:r>
        <w:rPr>
          <w:rFonts w:hint="default" w:ascii="Times New Roman" w:hAnsi="Times New Roman" w:eastAsia="宋体" w:cs="Times New Roman"/>
          <w:sz w:val="28"/>
          <w:szCs w:val="28"/>
          <w:highlight w:val="none"/>
          <w:lang w:val="en-US" w:eastAsia="zh-CN"/>
        </w:rPr>
        <w:t>期1年左右的筹建和基建时间，</w:t>
      </w:r>
      <w:r>
        <w:rPr>
          <w:rFonts w:hint="default" w:ascii="Times New Roman" w:hAnsi="Times New Roman" w:eastAsia="宋体" w:cs="Times New Roman"/>
          <w:sz w:val="28"/>
          <w:szCs w:val="28"/>
          <w:highlight w:val="none"/>
        </w:rPr>
        <w:t>方案适用年限为***年，总费用为</w:t>
      </w:r>
      <w:r>
        <w:rPr>
          <w:rFonts w:hint="eastAsia" w:ascii="Times New Roman" w:hAnsi="Times New Roman" w:eastAsia="宋体" w:cs="Times New Roman"/>
          <w:sz w:val="28"/>
          <w:szCs w:val="28"/>
          <w:highlight w:val="none"/>
          <w:lang w:val="en-US" w:eastAsia="zh-CN"/>
        </w:rPr>
        <w:t>***</w:t>
      </w:r>
      <w:r>
        <w:rPr>
          <w:rFonts w:hint="default" w:ascii="Times New Roman" w:hAnsi="Times New Roman" w:eastAsia="宋体" w:cs="Times New Roman"/>
          <w:sz w:val="28"/>
          <w:szCs w:val="28"/>
          <w:highlight w:val="none"/>
        </w:rPr>
        <w:t>万元，其中：施工费+其他费用+不可预见费为</w:t>
      </w:r>
      <w:r>
        <w:rPr>
          <w:rFonts w:hint="eastAsia" w:ascii="Times New Roman" w:hAnsi="Times New Roman" w:eastAsia="宋体" w:cs="Times New Roman"/>
          <w:sz w:val="28"/>
          <w:szCs w:val="28"/>
          <w:highlight w:val="none"/>
          <w:lang w:val="en-US" w:eastAsia="zh-CN"/>
        </w:rPr>
        <w:t>***</w:t>
      </w:r>
      <w:r>
        <w:rPr>
          <w:rFonts w:hint="default" w:ascii="Times New Roman" w:hAnsi="Times New Roman" w:eastAsia="宋体" w:cs="Times New Roman"/>
          <w:sz w:val="28"/>
          <w:szCs w:val="28"/>
          <w:highlight w:val="none"/>
        </w:rPr>
        <w:t>万元，预留费用</w:t>
      </w:r>
      <w:r>
        <w:rPr>
          <w:rFonts w:hint="default" w:ascii="Times New Roman" w:hAnsi="Times New Roman" w:eastAsia="宋体" w:cs="Times New Roman"/>
          <w:sz w:val="28"/>
          <w:szCs w:val="28"/>
        </w:rPr>
        <w:t>为</w:t>
      </w:r>
      <w:r>
        <w:rPr>
          <w:rFonts w:hint="eastAsia" w:ascii="Times New Roman" w:hAnsi="Times New Roman" w:eastAsia="宋体" w:cs="Times New Roman"/>
          <w:sz w:val="28"/>
          <w:szCs w:val="28"/>
          <w:lang w:val="en-US" w:eastAsia="zh-CN"/>
        </w:rPr>
        <w:t>***万元</w:t>
      </w:r>
      <w:r>
        <w:rPr>
          <w:rFonts w:hint="default" w:ascii="Times New Roman" w:hAnsi="Times New Roman" w:eastAsia="宋体" w:cs="Times New Roman"/>
          <w:sz w:val="28"/>
          <w:szCs w:val="28"/>
          <w:lang w:val="en-US" w:eastAsia="zh-CN"/>
        </w:rPr>
        <w:t>。</w:t>
      </w:r>
      <w:r>
        <w:rPr>
          <w:rFonts w:hint="default" w:ascii="Times New Roman" w:hAnsi="Times New Roman" w:eastAsia="宋体" w:cs="Times New Roman"/>
          <w:sz w:val="28"/>
          <w:szCs w:val="28"/>
        </w:rPr>
        <w:t>本次计划该基金分</w:t>
      </w:r>
      <w:r>
        <w:rPr>
          <w:rFonts w:hint="default"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rPr>
        <w:t>次计提完毕</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其中202</w:t>
      </w:r>
      <w:r>
        <w:rPr>
          <w:rFonts w:hint="eastAsia"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lang w:val="en-US" w:eastAsia="zh-CN"/>
        </w:rPr>
        <w:t>年拟提</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万元，202</w:t>
      </w:r>
      <w:r>
        <w:rPr>
          <w:rFonts w:hint="eastAsia" w:ascii="Times New Roman" w:hAnsi="Times New Roman" w:eastAsia="宋体" w:cs="Times New Roman"/>
          <w:sz w:val="28"/>
          <w:szCs w:val="28"/>
          <w:lang w:val="en-US" w:eastAsia="zh-CN"/>
        </w:rPr>
        <w:t>5</w:t>
      </w:r>
      <w:r>
        <w:rPr>
          <w:rFonts w:hint="default" w:ascii="Times New Roman" w:hAnsi="Times New Roman" w:eastAsia="宋体" w:cs="Times New Roman"/>
          <w:sz w:val="28"/>
          <w:szCs w:val="28"/>
          <w:lang w:val="en-US" w:eastAsia="zh-CN"/>
        </w:rPr>
        <w:t>年拟提</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万元，202</w:t>
      </w:r>
      <w:r>
        <w:rPr>
          <w:rFonts w:hint="eastAsia" w:ascii="Times New Roman" w:hAnsi="Times New Roman" w:eastAsia="宋体" w:cs="Times New Roman"/>
          <w:sz w:val="28"/>
          <w:szCs w:val="28"/>
          <w:lang w:val="en-US" w:eastAsia="zh-CN"/>
        </w:rPr>
        <w:t>6</w:t>
      </w:r>
      <w:r>
        <w:rPr>
          <w:rFonts w:hint="default" w:ascii="Times New Roman" w:hAnsi="Times New Roman" w:eastAsia="宋体" w:cs="Times New Roman"/>
          <w:sz w:val="28"/>
          <w:szCs w:val="28"/>
          <w:lang w:val="en-US" w:eastAsia="zh-CN"/>
        </w:rPr>
        <w:t>年拟提</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万元，202</w:t>
      </w:r>
      <w:r>
        <w:rPr>
          <w:rFonts w:hint="eastAsia" w:ascii="Times New Roman" w:hAnsi="Times New Roman" w:eastAsia="宋体" w:cs="Times New Roman"/>
          <w:sz w:val="28"/>
          <w:szCs w:val="28"/>
          <w:lang w:val="en-US" w:eastAsia="zh-CN"/>
        </w:rPr>
        <w:t>7</w:t>
      </w:r>
      <w:r>
        <w:rPr>
          <w:rFonts w:hint="default" w:ascii="Times New Roman" w:hAnsi="Times New Roman" w:eastAsia="宋体" w:cs="Times New Roman"/>
          <w:sz w:val="28"/>
          <w:szCs w:val="28"/>
          <w:lang w:val="en-US" w:eastAsia="zh-CN"/>
        </w:rPr>
        <w:t>年拟提</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万元，累计计提***万元</w:t>
      </w:r>
      <w:r>
        <w:rPr>
          <w:rFonts w:hint="default" w:ascii="Times New Roman" w:hAnsi="Times New Roman" w:eastAsia="宋体" w:cs="Times New Roman"/>
          <w:sz w:val="28"/>
          <w:szCs w:val="28"/>
        </w:rPr>
        <w:t>。各年度基金提取计划见表5-8。</w:t>
      </w:r>
    </w:p>
    <w:p>
      <w:pPr>
        <w:rPr>
          <w:rFonts w:hint="default" w:ascii="Times New Roman" w:hAnsi="Times New Roman" w:eastAsia="宋体" w:cs="Times New Roman"/>
          <w:b/>
          <w:sz w:val="24"/>
          <w:szCs w:val="24"/>
          <w:lang w:val="en-US" w:eastAsia="en-US"/>
        </w:rPr>
      </w:pPr>
      <w:r>
        <w:rPr>
          <w:rFonts w:hint="default" w:ascii="Times New Roman" w:hAnsi="Times New Roman" w:eastAsia="宋体" w:cs="Times New Roman"/>
          <w:b/>
          <w:sz w:val="24"/>
          <w:szCs w:val="24"/>
          <w:lang w:val="en-US" w:eastAsia="en-US"/>
        </w:rPr>
        <w:br w:type="page"/>
      </w:r>
    </w:p>
    <w:p>
      <w:pPr>
        <w:spacing w:line="0" w:lineRule="atLeast"/>
        <w:ind w:firstLine="482" w:firstLineChars="200"/>
        <w:jc w:val="center"/>
        <w:rPr>
          <w:rFonts w:hint="default" w:ascii="Times New Roman" w:hAnsi="Times New Roman" w:eastAsia="宋体" w:cs="Times New Roman"/>
          <w:b/>
          <w:sz w:val="24"/>
          <w:szCs w:val="24"/>
          <w:lang w:val="en-US" w:eastAsia="en-US"/>
        </w:rPr>
      </w:pPr>
      <w:r>
        <w:rPr>
          <w:rFonts w:hint="default" w:ascii="Times New Roman" w:hAnsi="Times New Roman" w:eastAsia="宋体" w:cs="Times New Roman"/>
          <w:b/>
          <w:sz w:val="24"/>
          <w:szCs w:val="24"/>
          <w:lang w:val="en-US" w:eastAsia="en-US"/>
        </w:rPr>
        <w:t>表5-</w:t>
      </w:r>
      <w:r>
        <w:rPr>
          <w:rFonts w:hint="eastAsia" w:ascii="Times New Roman" w:hAnsi="Times New Roman" w:eastAsia="宋体" w:cs="Times New Roman"/>
          <w:b/>
          <w:sz w:val="24"/>
          <w:szCs w:val="24"/>
          <w:lang w:val="en-US" w:eastAsia="zh-CN"/>
        </w:rPr>
        <w:t>9</w:t>
      </w:r>
      <w:r>
        <w:rPr>
          <w:rFonts w:hint="default" w:ascii="Times New Roman" w:hAnsi="Times New Roman" w:eastAsia="宋体" w:cs="Times New Roman"/>
          <w:b/>
          <w:sz w:val="24"/>
          <w:szCs w:val="24"/>
          <w:lang w:val="en-US" w:eastAsia="en-US"/>
        </w:rPr>
        <w:t xml:space="preserve"> 生态保护修复基金计提计划表</w:t>
      </w:r>
    </w:p>
    <w:p>
      <w:pPr>
        <w:widowControl/>
        <w:kinsoku w:val="0"/>
        <w:autoSpaceDE w:val="0"/>
        <w:autoSpaceDN w:val="0"/>
        <w:adjustRightInd w:val="0"/>
        <w:snapToGrid w:val="0"/>
        <w:spacing w:line="149" w:lineRule="exact"/>
        <w:jc w:val="left"/>
        <w:textAlignment w:val="baseline"/>
        <w:rPr>
          <w:rFonts w:hint="default" w:ascii="Times New Roman" w:hAnsi="Times New Roman" w:eastAsia="Arial" w:cs="Times New Roman"/>
          <w:snapToGrid w:val="0"/>
          <w:color w:val="000000"/>
          <w:kern w:val="0"/>
          <w:szCs w:val="21"/>
          <w:lang w:eastAsia="en-US"/>
        </w:rPr>
      </w:pPr>
    </w:p>
    <w:tbl>
      <w:tblPr>
        <w:tblStyle w:val="23"/>
        <w:tblW w:w="8116" w:type="dxa"/>
        <w:jc w:val="center"/>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
      <w:tblGrid>
        <w:gridCol w:w="789"/>
        <w:gridCol w:w="1525"/>
        <w:gridCol w:w="3308"/>
        <w:gridCol w:w="2494"/>
      </w:tblGrid>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688" w:hRule="atLeast"/>
          <w:jc w:val="center"/>
        </w:trPr>
        <w:tc>
          <w:tcPr>
            <w:tcW w:w="7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auto"/>
              <w:ind w:left="0"/>
              <w:jc w:val="center"/>
              <w:textAlignment w:val="baseline"/>
              <w:rPr>
                <w:rFonts w:hint="default" w:ascii="Times New Roman" w:hAnsi="Times New Roman" w:eastAsia="宋体" w:cs="Times New Roman"/>
                <w:b/>
                <w:bCs/>
                <w:snapToGrid w:val="0"/>
                <w:color w:val="000000"/>
                <w:kern w:val="0"/>
                <w:sz w:val="21"/>
                <w:szCs w:val="21"/>
                <w:lang w:val="en-US" w:eastAsia="en-US" w:bidi="ar-SA"/>
              </w:rPr>
            </w:pPr>
            <w:r>
              <w:rPr>
                <w:rFonts w:hint="default" w:ascii="Times New Roman" w:hAnsi="Times New Roman" w:eastAsia="宋体" w:cs="Times New Roman"/>
                <w:b/>
                <w:bCs/>
                <w:snapToGrid w:val="0"/>
                <w:color w:val="000000"/>
                <w:spacing w:val="5"/>
                <w:kern w:val="0"/>
                <w:sz w:val="21"/>
                <w:szCs w:val="21"/>
                <w:lang w:val="en-US" w:eastAsia="en-US" w:bidi="ar-SA"/>
              </w:rPr>
              <w:t>序号</w:t>
            </w:r>
          </w:p>
        </w:tc>
        <w:tc>
          <w:tcPr>
            <w:tcW w:w="15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auto"/>
              <w:ind w:left="0"/>
              <w:jc w:val="center"/>
              <w:textAlignment w:val="baseline"/>
              <w:rPr>
                <w:rFonts w:hint="default" w:ascii="Times New Roman" w:hAnsi="Times New Roman" w:eastAsia="宋体" w:cs="Times New Roman"/>
                <w:b/>
                <w:bCs/>
                <w:snapToGrid w:val="0"/>
                <w:color w:val="000000"/>
                <w:kern w:val="0"/>
                <w:sz w:val="21"/>
                <w:szCs w:val="21"/>
                <w:lang w:val="en-US" w:eastAsia="en-US" w:bidi="ar-SA"/>
              </w:rPr>
            </w:pPr>
            <w:r>
              <w:rPr>
                <w:rFonts w:hint="default" w:ascii="Times New Roman" w:hAnsi="Times New Roman" w:eastAsia="宋体" w:cs="Times New Roman"/>
                <w:b/>
                <w:bCs/>
                <w:snapToGrid w:val="0"/>
                <w:color w:val="000000"/>
                <w:spacing w:val="4"/>
                <w:kern w:val="0"/>
                <w:sz w:val="21"/>
                <w:szCs w:val="21"/>
                <w:lang w:val="en-US" w:eastAsia="en-US" w:bidi="ar-SA"/>
              </w:rPr>
              <w:t>年度</w:t>
            </w:r>
          </w:p>
        </w:tc>
        <w:tc>
          <w:tcPr>
            <w:tcW w:w="33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auto"/>
              <w:ind w:left="0"/>
              <w:jc w:val="center"/>
              <w:textAlignment w:val="baseline"/>
              <w:rPr>
                <w:rFonts w:hint="default" w:ascii="Times New Roman" w:hAnsi="Times New Roman" w:eastAsia="宋体" w:cs="Times New Roman"/>
                <w:b/>
                <w:bCs/>
                <w:snapToGrid w:val="0"/>
                <w:color w:val="000000"/>
                <w:kern w:val="0"/>
                <w:sz w:val="21"/>
                <w:szCs w:val="21"/>
                <w:lang w:val="en-US" w:eastAsia="en-US" w:bidi="ar-SA"/>
              </w:rPr>
            </w:pPr>
            <w:r>
              <w:rPr>
                <w:rFonts w:hint="default" w:ascii="Times New Roman" w:hAnsi="Times New Roman" w:eastAsia="宋体" w:cs="Times New Roman"/>
                <w:b/>
                <w:bCs/>
                <w:snapToGrid w:val="0"/>
                <w:color w:val="000000"/>
                <w:spacing w:val="8"/>
                <w:kern w:val="0"/>
                <w:sz w:val="21"/>
                <w:szCs w:val="21"/>
                <w:lang w:val="en-US" w:eastAsia="en-US" w:bidi="ar-SA"/>
              </w:rPr>
              <w:t>工程费用名称</w:t>
            </w:r>
          </w:p>
        </w:tc>
        <w:tc>
          <w:tcPr>
            <w:tcW w:w="249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auto"/>
              <w:ind w:left="0"/>
              <w:jc w:val="center"/>
              <w:textAlignment w:val="baseline"/>
              <w:rPr>
                <w:rFonts w:hint="default" w:ascii="Times New Roman" w:hAnsi="Times New Roman" w:eastAsia="宋体" w:cs="Times New Roman"/>
                <w:b/>
                <w:bCs/>
                <w:snapToGrid w:val="0"/>
                <w:color w:val="000000"/>
                <w:kern w:val="0"/>
                <w:sz w:val="21"/>
                <w:szCs w:val="21"/>
                <w:lang w:val="en-US" w:eastAsia="en-US" w:bidi="ar-SA"/>
              </w:rPr>
            </w:pPr>
            <w:r>
              <w:rPr>
                <w:rFonts w:hint="default" w:ascii="Times New Roman" w:hAnsi="Times New Roman" w:eastAsia="宋体" w:cs="Times New Roman"/>
                <w:b/>
                <w:bCs/>
                <w:snapToGrid w:val="0"/>
                <w:color w:val="000000"/>
                <w:spacing w:val="7"/>
                <w:kern w:val="0"/>
                <w:sz w:val="21"/>
                <w:szCs w:val="21"/>
                <w:lang w:val="en-US" w:eastAsia="en-US" w:bidi="ar-SA"/>
              </w:rPr>
              <w:t>基金计提（万元）</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632" w:hRule="atLeast"/>
          <w:jc w:val="center"/>
        </w:trPr>
        <w:tc>
          <w:tcPr>
            <w:tcW w:w="7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宋体" w:cs="Times New Roman"/>
                <w:snapToGrid w:val="0"/>
                <w:color w:val="000000"/>
                <w:kern w:val="0"/>
                <w:sz w:val="21"/>
                <w:szCs w:val="21"/>
                <w:lang w:eastAsia="en-US"/>
              </w:rPr>
            </w:pPr>
            <w:r>
              <w:rPr>
                <w:rFonts w:hint="default" w:ascii="Times New Roman" w:hAnsi="Times New Roman" w:eastAsia="宋体" w:cs="Times New Roman"/>
                <w:snapToGrid w:val="0"/>
                <w:color w:val="000000"/>
                <w:kern w:val="0"/>
                <w:sz w:val="21"/>
                <w:szCs w:val="21"/>
                <w:lang w:eastAsia="en-US"/>
              </w:rPr>
              <w:t>1</w:t>
            </w:r>
          </w:p>
        </w:tc>
        <w:tc>
          <w:tcPr>
            <w:tcW w:w="15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auto"/>
              <w:ind w:left="0"/>
              <w:jc w:val="center"/>
              <w:textAlignment w:val="baseline"/>
              <w:rPr>
                <w:rFonts w:hint="default" w:ascii="Times New Roman" w:hAnsi="Times New Roman" w:eastAsia="宋体" w:cs="Times New Roman"/>
                <w:snapToGrid w:val="0"/>
                <w:color w:val="000000"/>
                <w:kern w:val="0"/>
                <w:sz w:val="21"/>
                <w:szCs w:val="21"/>
                <w:lang w:val="en-US" w:eastAsia="en-US" w:bidi="ar-SA"/>
              </w:rPr>
            </w:pPr>
            <w:r>
              <w:rPr>
                <w:rFonts w:hint="default" w:ascii="Times New Roman" w:hAnsi="Times New Roman" w:eastAsia="宋体" w:cs="Times New Roman"/>
                <w:snapToGrid w:val="0"/>
                <w:color w:val="000000"/>
                <w:spacing w:val="4"/>
                <w:kern w:val="0"/>
                <w:sz w:val="21"/>
                <w:szCs w:val="21"/>
                <w:lang w:val="en-US" w:eastAsia="en-US" w:bidi="ar-SA"/>
              </w:rPr>
              <w:t>202</w:t>
            </w:r>
            <w:r>
              <w:rPr>
                <w:rFonts w:hint="eastAsia" w:ascii="Times New Roman" w:hAnsi="Times New Roman" w:eastAsia="宋体" w:cs="Times New Roman"/>
                <w:snapToGrid w:val="0"/>
                <w:color w:val="000000"/>
                <w:spacing w:val="4"/>
                <w:kern w:val="0"/>
                <w:sz w:val="21"/>
                <w:szCs w:val="21"/>
                <w:lang w:val="en-US" w:eastAsia="zh-CN" w:bidi="ar-SA"/>
              </w:rPr>
              <w:t>4</w:t>
            </w:r>
            <w:r>
              <w:rPr>
                <w:rFonts w:hint="default" w:ascii="Times New Roman" w:hAnsi="Times New Roman" w:eastAsia="宋体" w:cs="Times New Roman"/>
                <w:snapToGrid w:val="0"/>
                <w:color w:val="000000"/>
                <w:spacing w:val="4"/>
                <w:kern w:val="0"/>
                <w:sz w:val="21"/>
                <w:szCs w:val="21"/>
                <w:lang w:val="en-US" w:eastAsia="en-US" w:bidi="ar-SA"/>
              </w:rPr>
              <w:t>年度</w:t>
            </w:r>
          </w:p>
        </w:tc>
        <w:tc>
          <w:tcPr>
            <w:tcW w:w="33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auto"/>
              <w:ind w:left="0"/>
              <w:jc w:val="center"/>
              <w:textAlignment w:val="baseline"/>
              <w:rPr>
                <w:rFonts w:hint="default" w:ascii="Times New Roman" w:hAnsi="Times New Roman" w:eastAsia="宋体" w:cs="Times New Roman"/>
                <w:snapToGrid w:val="0"/>
                <w:color w:val="000000"/>
                <w:kern w:val="0"/>
                <w:sz w:val="21"/>
                <w:szCs w:val="21"/>
                <w:lang w:val="en-US" w:eastAsia="en-US" w:bidi="ar-SA"/>
              </w:rPr>
            </w:pPr>
            <w:r>
              <w:rPr>
                <w:rFonts w:hint="default" w:ascii="Times New Roman" w:hAnsi="Times New Roman" w:eastAsia="宋体" w:cs="Times New Roman"/>
                <w:snapToGrid w:val="0"/>
                <w:color w:val="000000"/>
                <w:spacing w:val="8"/>
                <w:kern w:val="0"/>
                <w:sz w:val="21"/>
                <w:szCs w:val="21"/>
                <w:lang w:val="en-US" w:eastAsia="en-US" w:bidi="ar-SA"/>
              </w:rPr>
              <w:t>生态保护修复基金</w:t>
            </w:r>
          </w:p>
        </w:tc>
        <w:tc>
          <w:tcPr>
            <w:tcW w:w="249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auto"/>
              <w:ind w:left="0"/>
              <w:jc w:val="center"/>
              <w:textAlignment w:val="baseline"/>
              <w:rPr>
                <w:rFonts w:hint="default" w:ascii="Times New Roman" w:hAnsi="Times New Roman" w:eastAsia="宋体" w:cs="Times New Roman"/>
                <w:b/>
                <w:bCs/>
                <w:snapToGrid w:val="0"/>
                <w:color w:val="000000"/>
                <w:spacing w:val="4"/>
                <w:kern w:val="0"/>
                <w:sz w:val="21"/>
                <w:szCs w:val="21"/>
                <w:lang w:val="en-US" w:eastAsia="en-US" w:bidi="ar-SA"/>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635" w:hRule="atLeast"/>
          <w:jc w:val="center"/>
        </w:trPr>
        <w:tc>
          <w:tcPr>
            <w:tcW w:w="7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宋体" w:cs="Times New Roman"/>
                <w:snapToGrid w:val="0"/>
                <w:color w:val="000000"/>
                <w:kern w:val="0"/>
                <w:sz w:val="21"/>
                <w:szCs w:val="21"/>
                <w:lang w:eastAsia="en-US"/>
              </w:rPr>
            </w:pPr>
            <w:r>
              <w:rPr>
                <w:rFonts w:hint="default" w:ascii="Times New Roman" w:hAnsi="Times New Roman" w:eastAsia="宋体" w:cs="Times New Roman"/>
                <w:snapToGrid w:val="0"/>
                <w:color w:val="000000"/>
                <w:kern w:val="0"/>
                <w:sz w:val="21"/>
                <w:szCs w:val="21"/>
                <w:lang w:eastAsia="en-US"/>
              </w:rPr>
              <w:t>2</w:t>
            </w:r>
          </w:p>
        </w:tc>
        <w:tc>
          <w:tcPr>
            <w:tcW w:w="15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auto"/>
              <w:ind w:left="0" w:leftChars="0"/>
              <w:jc w:val="center"/>
              <w:textAlignment w:val="baseline"/>
              <w:rPr>
                <w:rFonts w:hint="default" w:ascii="Times New Roman" w:hAnsi="Times New Roman" w:eastAsia="宋体" w:cs="Times New Roman"/>
                <w:snapToGrid w:val="0"/>
                <w:color w:val="000000"/>
                <w:kern w:val="0"/>
                <w:sz w:val="21"/>
                <w:szCs w:val="21"/>
                <w:lang w:val="en-US" w:eastAsia="en-US" w:bidi="ar-SA"/>
              </w:rPr>
            </w:pPr>
            <w:r>
              <w:rPr>
                <w:rFonts w:hint="default" w:ascii="Times New Roman" w:hAnsi="Times New Roman" w:eastAsia="宋体" w:cs="Times New Roman"/>
                <w:snapToGrid w:val="0"/>
                <w:color w:val="000000"/>
                <w:spacing w:val="4"/>
                <w:kern w:val="0"/>
                <w:sz w:val="21"/>
                <w:szCs w:val="21"/>
                <w:lang w:val="en-US" w:eastAsia="en-US" w:bidi="ar-SA"/>
              </w:rPr>
              <w:t>202</w:t>
            </w:r>
            <w:r>
              <w:rPr>
                <w:rFonts w:hint="default" w:ascii="Times New Roman" w:hAnsi="Times New Roman" w:eastAsia="宋体" w:cs="Times New Roman"/>
                <w:snapToGrid w:val="0"/>
                <w:color w:val="000000"/>
                <w:spacing w:val="4"/>
                <w:kern w:val="0"/>
                <w:sz w:val="21"/>
                <w:szCs w:val="21"/>
                <w:lang w:val="en-US" w:eastAsia="zh-CN" w:bidi="ar-SA"/>
              </w:rPr>
              <w:t>5</w:t>
            </w:r>
            <w:r>
              <w:rPr>
                <w:rFonts w:hint="default" w:ascii="Times New Roman" w:hAnsi="Times New Roman" w:eastAsia="宋体" w:cs="Times New Roman"/>
                <w:snapToGrid w:val="0"/>
                <w:color w:val="000000"/>
                <w:spacing w:val="4"/>
                <w:kern w:val="0"/>
                <w:sz w:val="21"/>
                <w:szCs w:val="21"/>
                <w:lang w:val="en-US" w:eastAsia="en-US" w:bidi="ar-SA"/>
              </w:rPr>
              <w:t>年度</w:t>
            </w:r>
          </w:p>
        </w:tc>
        <w:tc>
          <w:tcPr>
            <w:tcW w:w="33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auto"/>
              <w:ind w:left="0"/>
              <w:jc w:val="center"/>
              <w:textAlignment w:val="baseline"/>
              <w:rPr>
                <w:rFonts w:hint="default" w:ascii="Times New Roman" w:hAnsi="Times New Roman" w:eastAsia="宋体" w:cs="Times New Roman"/>
                <w:snapToGrid w:val="0"/>
                <w:color w:val="000000"/>
                <w:kern w:val="0"/>
                <w:sz w:val="21"/>
                <w:szCs w:val="21"/>
                <w:lang w:val="en-US" w:eastAsia="en-US" w:bidi="ar-SA"/>
              </w:rPr>
            </w:pPr>
            <w:r>
              <w:rPr>
                <w:rFonts w:hint="default" w:ascii="Times New Roman" w:hAnsi="Times New Roman" w:eastAsia="宋体" w:cs="Times New Roman"/>
                <w:snapToGrid w:val="0"/>
                <w:color w:val="000000"/>
                <w:spacing w:val="8"/>
                <w:kern w:val="0"/>
                <w:sz w:val="21"/>
                <w:szCs w:val="21"/>
                <w:lang w:val="en-US" w:eastAsia="en-US" w:bidi="ar-SA"/>
              </w:rPr>
              <w:t>生态保护修复基金</w:t>
            </w:r>
          </w:p>
        </w:tc>
        <w:tc>
          <w:tcPr>
            <w:tcW w:w="249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auto"/>
              <w:ind w:left="0"/>
              <w:jc w:val="center"/>
              <w:textAlignment w:val="baseline"/>
              <w:rPr>
                <w:rFonts w:hint="default" w:ascii="Times New Roman" w:hAnsi="Times New Roman" w:eastAsia="宋体" w:cs="Times New Roman"/>
                <w:b/>
                <w:bCs/>
                <w:snapToGrid w:val="0"/>
                <w:color w:val="000000"/>
                <w:spacing w:val="4"/>
                <w:kern w:val="0"/>
                <w:sz w:val="21"/>
                <w:szCs w:val="21"/>
                <w:lang w:val="en-US" w:eastAsia="en-US" w:bidi="ar-SA"/>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635" w:hRule="atLeast"/>
          <w:jc w:val="center"/>
        </w:trPr>
        <w:tc>
          <w:tcPr>
            <w:tcW w:w="7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宋体" w:cs="Times New Roman"/>
                <w:snapToGrid w:val="0"/>
                <w:color w:val="000000"/>
                <w:kern w:val="0"/>
                <w:sz w:val="21"/>
                <w:szCs w:val="21"/>
                <w:lang w:eastAsia="en-US"/>
              </w:rPr>
            </w:pPr>
            <w:r>
              <w:rPr>
                <w:rFonts w:hint="default" w:ascii="Times New Roman" w:hAnsi="Times New Roman" w:eastAsia="宋体" w:cs="Times New Roman"/>
                <w:snapToGrid w:val="0"/>
                <w:color w:val="000000"/>
                <w:kern w:val="0"/>
                <w:sz w:val="21"/>
                <w:szCs w:val="21"/>
                <w:lang w:eastAsia="en-US"/>
              </w:rPr>
              <w:t>3</w:t>
            </w:r>
          </w:p>
        </w:tc>
        <w:tc>
          <w:tcPr>
            <w:tcW w:w="15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auto"/>
              <w:ind w:left="0" w:leftChars="0"/>
              <w:jc w:val="center"/>
              <w:textAlignment w:val="baseline"/>
              <w:rPr>
                <w:rFonts w:hint="default" w:ascii="Times New Roman" w:hAnsi="Times New Roman" w:eastAsia="宋体" w:cs="Times New Roman"/>
                <w:snapToGrid w:val="0"/>
                <w:color w:val="000000"/>
                <w:kern w:val="0"/>
                <w:sz w:val="21"/>
                <w:szCs w:val="21"/>
                <w:lang w:val="en-US" w:eastAsia="en-US" w:bidi="ar-SA"/>
              </w:rPr>
            </w:pPr>
            <w:r>
              <w:rPr>
                <w:rFonts w:hint="default" w:ascii="Times New Roman" w:hAnsi="Times New Roman" w:eastAsia="宋体" w:cs="Times New Roman"/>
                <w:snapToGrid w:val="0"/>
                <w:color w:val="000000"/>
                <w:spacing w:val="4"/>
                <w:kern w:val="0"/>
                <w:sz w:val="21"/>
                <w:szCs w:val="21"/>
                <w:lang w:val="en-US" w:eastAsia="en-US" w:bidi="ar-SA"/>
              </w:rPr>
              <w:t>202</w:t>
            </w:r>
            <w:r>
              <w:rPr>
                <w:rFonts w:hint="default" w:ascii="Times New Roman" w:hAnsi="Times New Roman" w:eastAsia="宋体" w:cs="Times New Roman"/>
                <w:snapToGrid w:val="0"/>
                <w:color w:val="000000"/>
                <w:spacing w:val="4"/>
                <w:kern w:val="0"/>
                <w:sz w:val="21"/>
                <w:szCs w:val="21"/>
                <w:lang w:val="en-US" w:eastAsia="zh-CN" w:bidi="ar-SA"/>
              </w:rPr>
              <w:t>6</w:t>
            </w:r>
            <w:r>
              <w:rPr>
                <w:rFonts w:hint="default" w:ascii="Times New Roman" w:hAnsi="Times New Roman" w:eastAsia="宋体" w:cs="Times New Roman"/>
                <w:snapToGrid w:val="0"/>
                <w:color w:val="000000"/>
                <w:spacing w:val="4"/>
                <w:kern w:val="0"/>
                <w:sz w:val="21"/>
                <w:szCs w:val="21"/>
                <w:lang w:val="en-US" w:eastAsia="en-US" w:bidi="ar-SA"/>
              </w:rPr>
              <w:t>年度</w:t>
            </w:r>
          </w:p>
        </w:tc>
        <w:tc>
          <w:tcPr>
            <w:tcW w:w="33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auto"/>
              <w:ind w:left="0"/>
              <w:jc w:val="center"/>
              <w:textAlignment w:val="baseline"/>
              <w:rPr>
                <w:rFonts w:hint="default" w:ascii="Times New Roman" w:hAnsi="Times New Roman" w:eastAsia="宋体" w:cs="Times New Roman"/>
                <w:snapToGrid w:val="0"/>
                <w:color w:val="000000"/>
                <w:kern w:val="0"/>
                <w:sz w:val="21"/>
                <w:szCs w:val="21"/>
                <w:lang w:val="en-US" w:eastAsia="en-US" w:bidi="ar-SA"/>
              </w:rPr>
            </w:pPr>
            <w:r>
              <w:rPr>
                <w:rFonts w:hint="default" w:ascii="Times New Roman" w:hAnsi="Times New Roman" w:eastAsia="宋体" w:cs="Times New Roman"/>
                <w:snapToGrid w:val="0"/>
                <w:color w:val="000000"/>
                <w:spacing w:val="8"/>
                <w:kern w:val="0"/>
                <w:sz w:val="21"/>
                <w:szCs w:val="21"/>
                <w:lang w:val="en-US" w:eastAsia="en-US" w:bidi="ar-SA"/>
              </w:rPr>
              <w:t>生态保护修复基金</w:t>
            </w:r>
          </w:p>
        </w:tc>
        <w:tc>
          <w:tcPr>
            <w:tcW w:w="249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auto"/>
              <w:ind w:left="0"/>
              <w:jc w:val="center"/>
              <w:textAlignment w:val="baseline"/>
              <w:rPr>
                <w:rFonts w:hint="default" w:ascii="Times New Roman" w:hAnsi="Times New Roman" w:eastAsia="宋体" w:cs="Times New Roman"/>
                <w:b/>
                <w:bCs/>
                <w:snapToGrid w:val="0"/>
                <w:color w:val="000000"/>
                <w:spacing w:val="4"/>
                <w:kern w:val="0"/>
                <w:sz w:val="21"/>
                <w:szCs w:val="21"/>
                <w:lang w:val="en-US" w:eastAsia="en-US" w:bidi="ar-SA"/>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633" w:hRule="atLeast"/>
          <w:jc w:val="center"/>
        </w:trPr>
        <w:tc>
          <w:tcPr>
            <w:tcW w:w="7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宋体" w:cs="Times New Roman"/>
                <w:snapToGrid w:val="0"/>
                <w:color w:val="000000"/>
                <w:kern w:val="0"/>
                <w:sz w:val="21"/>
                <w:szCs w:val="21"/>
                <w:lang w:eastAsia="en-US"/>
              </w:rPr>
            </w:pPr>
            <w:r>
              <w:rPr>
                <w:rFonts w:hint="default" w:ascii="Times New Roman" w:hAnsi="Times New Roman" w:eastAsia="宋体" w:cs="Times New Roman"/>
                <w:snapToGrid w:val="0"/>
                <w:color w:val="000000"/>
                <w:spacing w:val="1"/>
                <w:kern w:val="0"/>
                <w:sz w:val="21"/>
                <w:szCs w:val="21"/>
                <w:lang w:eastAsia="en-US"/>
              </w:rPr>
              <w:t>4</w:t>
            </w:r>
          </w:p>
        </w:tc>
        <w:tc>
          <w:tcPr>
            <w:tcW w:w="152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auto"/>
              <w:ind w:left="0" w:leftChars="0"/>
              <w:jc w:val="center"/>
              <w:textAlignment w:val="baseline"/>
              <w:rPr>
                <w:rFonts w:hint="default" w:ascii="Times New Roman" w:hAnsi="Times New Roman" w:eastAsia="宋体" w:cs="Times New Roman"/>
                <w:snapToGrid w:val="0"/>
                <w:color w:val="000000"/>
                <w:kern w:val="0"/>
                <w:sz w:val="21"/>
                <w:szCs w:val="21"/>
                <w:lang w:val="en-US" w:eastAsia="en-US" w:bidi="ar-SA"/>
              </w:rPr>
            </w:pPr>
            <w:r>
              <w:rPr>
                <w:rFonts w:hint="default" w:ascii="Times New Roman" w:hAnsi="Times New Roman" w:eastAsia="宋体" w:cs="Times New Roman"/>
                <w:snapToGrid w:val="0"/>
                <w:color w:val="000000"/>
                <w:spacing w:val="4"/>
                <w:kern w:val="0"/>
                <w:sz w:val="21"/>
                <w:szCs w:val="21"/>
                <w:lang w:val="en-US" w:eastAsia="en-US" w:bidi="ar-SA"/>
              </w:rPr>
              <w:t>202</w:t>
            </w:r>
            <w:r>
              <w:rPr>
                <w:rFonts w:hint="default" w:ascii="Times New Roman" w:hAnsi="Times New Roman" w:eastAsia="宋体" w:cs="Times New Roman"/>
                <w:snapToGrid w:val="0"/>
                <w:color w:val="000000"/>
                <w:spacing w:val="4"/>
                <w:kern w:val="0"/>
                <w:sz w:val="21"/>
                <w:szCs w:val="21"/>
                <w:lang w:val="en-US" w:eastAsia="zh-CN" w:bidi="ar-SA"/>
              </w:rPr>
              <w:t>7</w:t>
            </w:r>
            <w:r>
              <w:rPr>
                <w:rFonts w:hint="default" w:ascii="Times New Roman" w:hAnsi="Times New Roman" w:eastAsia="宋体" w:cs="Times New Roman"/>
                <w:snapToGrid w:val="0"/>
                <w:color w:val="000000"/>
                <w:spacing w:val="4"/>
                <w:kern w:val="0"/>
                <w:sz w:val="21"/>
                <w:szCs w:val="21"/>
                <w:lang w:val="en-US" w:eastAsia="en-US" w:bidi="ar-SA"/>
              </w:rPr>
              <w:t>年度</w:t>
            </w:r>
          </w:p>
        </w:tc>
        <w:tc>
          <w:tcPr>
            <w:tcW w:w="33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auto"/>
              <w:ind w:left="0"/>
              <w:jc w:val="center"/>
              <w:textAlignment w:val="baseline"/>
              <w:rPr>
                <w:rFonts w:hint="default" w:ascii="Times New Roman" w:hAnsi="Times New Roman" w:eastAsia="宋体" w:cs="Times New Roman"/>
                <w:snapToGrid w:val="0"/>
                <w:color w:val="000000"/>
                <w:kern w:val="0"/>
                <w:sz w:val="21"/>
                <w:szCs w:val="21"/>
                <w:lang w:val="en-US" w:eastAsia="en-US" w:bidi="ar-SA"/>
              </w:rPr>
            </w:pPr>
            <w:r>
              <w:rPr>
                <w:rFonts w:hint="default" w:ascii="Times New Roman" w:hAnsi="Times New Roman" w:eastAsia="宋体" w:cs="Times New Roman"/>
                <w:snapToGrid w:val="0"/>
                <w:color w:val="000000"/>
                <w:spacing w:val="8"/>
                <w:kern w:val="0"/>
                <w:sz w:val="21"/>
                <w:szCs w:val="21"/>
                <w:lang w:val="en-US" w:eastAsia="en-US" w:bidi="ar-SA"/>
              </w:rPr>
              <w:t>生态保护修复基金</w:t>
            </w:r>
          </w:p>
        </w:tc>
        <w:tc>
          <w:tcPr>
            <w:tcW w:w="249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40" w:lineRule="auto"/>
              <w:ind w:left="0"/>
              <w:jc w:val="center"/>
              <w:textAlignment w:val="baseline"/>
              <w:rPr>
                <w:rFonts w:hint="default" w:ascii="Times New Roman" w:hAnsi="Times New Roman" w:eastAsia="宋体" w:cs="Times New Roman"/>
                <w:b/>
                <w:bCs/>
                <w:snapToGrid w:val="0"/>
                <w:color w:val="000000"/>
                <w:spacing w:val="4"/>
                <w:kern w:val="0"/>
                <w:sz w:val="21"/>
                <w:szCs w:val="21"/>
                <w:lang w:val="en-US" w:eastAsia="en-US" w:bidi="ar-SA"/>
              </w:rPr>
            </w:pPr>
            <w:r>
              <w:rPr>
                <w:rFonts w:hint="eastAsia"/>
              </w:rPr>
              <w:t>***</w:t>
            </w:r>
          </w:p>
        </w:tc>
      </w:tr>
    </w:tbl>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（三）基金管理与使用办法</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按有关财务制度和比例提留矿山生态保护修复资金，开设生态保护修复基金账户，并及时完成基金的计提工作。</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对计提的生态保护修复资金严格按照专款专用、单独核算的办法进行管理；按照规定的开支范围支出；实行专管，严格财务制度，规范财务手续，注明每一笔款项的使用情况。自觉接受上级主管部门对生态保护修复专项资金的监督检查</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做到每笔复垦资金真正用在生态保护修复工程上。对滥用、挪用资金的，坚决追究当事人、相关责任人的责任，并给予相应的处罚。</w:t>
      </w:r>
    </w:p>
    <w:p>
      <w:pPr>
        <w:widowControl/>
        <w:jc w:val="left"/>
        <w:rPr>
          <w:rFonts w:hint="default" w:ascii="Times New Roman" w:hAnsi="Times New Roman" w:eastAsia="宋体" w:cs="Times New Roman"/>
        </w:rPr>
      </w:pPr>
      <w:r>
        <w:rPr>
          <w:rFonts w:hint="default" w:ascii="Times New Roman" w:hAnsi="Times New Roman" w:eastAsia="宋体" w:cs="Times New Roman"/>
        </w:rPr>
        <w:br w:type="page"/>
      </w:r>
    </w:p>
    <w:p>
      <w:pPr>
        <w:pStyle w:val="2"/>
        <w:numPr>
          <w:ilvl w:val="0"/>
          <w:numId w:val="1"/>
        </w:numPr>
        <w:jc w:val="center"/>
        <w:rPr>
          <w:rFonts w:hint="default" w:ascii="Times New Roman" w:hAnsi="Times New Roman" w:eastAsia="黑体" w:cs="Times New Roman"/>
        </w:rPr>
      </w:pPr>
      <w:bookmarkStart w:id="24" w:name="_Toc155772677"/>
      <w:r>
        <w:rPr>
          <w:rFonts w:hint="default" w:ascii="Times New Roman" w:hAnsi="Times New Roman" w:eastAsia="黑体" w:cs="Times New Roman"/>
        </w:rPr>
        <w:t>保障措施</w:t>
      </w:r>
      <w:bookmarkEnd w:id="24"/>
    </w:p>
    <w:p>
      <w:pPr>
        <w:pStyle w:val="3"/>
        <w:rPr>
          <w:rFonts w:hint="default" w:ascii="Times New Roman" w:hAnsi="Times New Roman" w:eastAsia="宋体" w:cs="Times New Roman"/>
        </w:rPr>
      </w:pPr>
      <w:bookmarkStart w:id="25" w:name="_Toc155772678"/>
      <w:r>
        <w:rPr>
          <w:rFonts w:hint="default" w:ascii="Times New Roman" w:hAnsi="Times New Roman" w:eastAsia="宋体" w:cs="Times New Roman"/>
        </w:rPr>
        <w:t>一、组织保障</w:t>
      </w:r>
      <w:bookmarkEnd w:id="25"/>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为了有效保障矿山生态保护修复工作实施，矿山设立生态保护修复管理机构，全面负责矿山生态保护修复工作。按照矿山生产规模，生态保护修复管理机构配备足够的工作人员，同时</w:t>
      </w:r>
      <w:r>
        <w:rPr>
          <w:rFonts w:hint="default" w:ascii="Times New Roman" w:hAnsi="Times New Roman" w:eastAsia="宋体" w:cs="Times New Roman"/>
          <w:sz w:val="28"/>
          <w:szCs w:val="28"/>
          <w:lang w:eastAsia="zh-CN"/>
        </w:rPr>
        <w:t>制定</w:t>
      </w:r>
      <w:r>
        <w:rPr>
          <w:rFonts w:hint="default" w:ascii="Times New Roman" w:hAnsi="Times New Roman" w:eastAsia="宋体" w:cs="Times New Roman"/>
          <w:sz w:val="28"/>
          <w:szCs w:val="28"/>
        </w:rPr>
        <w:t>严格的工作制度，落实领导责任制，同时自觉接受地方自然资源主管部门的监督管理。</w:t>
      </w:r>
    </w:p>
    <w:p>
      <w:pPr>
        <w:pStyle w:val="3"/>
        <w:rPr>
          <w:rFonts w:hint="default" w:ascii="Times New Roman" w:hAnsi="Times New Roman" w:eastAsia="宋体" w:cs="Times New Roman"/>
        </w:rPr>
      </w:pPr>
      <w:bookmarkStart w:id="26" w:name="_Toc155772679"/>
      <w:r>
        <w:rPr>
          <w:rFonts w:hint="default" w:ascii="Times New Roman" w:hAnsi="Times New Roman" w:eastAsia="宋体" w:cs="Times New Roman"/>
        </w:rPr>
        <w:t>二、技术保障</w:t>
      </w:r>
      <w:bookmarkEnd w:id="26"/>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选择有技术优势及具有资质的单位对矿山生态保护修复进行设计、施工及监理，各项工作严格按照有关规定，按年度有序进行。生态保护修复实施中，根据本方案的总体框架，及时总结阶段性生态保护修复实践经验，修订本方案。加强对工作人员的技术培训，确保监测人员能及时发现和解决问题。设立专门办公室，具体</w:t>
      </w:r>
      <w:r>
        <w:rPr>
          <w:rFonts w:hint="default" w:ascii="Times New Roman" w:hAnsi="Times New Roman" w:eastAsia="宋体" w:cs="Times New Roman"/>
          <w:sz w:val="28"/>
          <w:szCs w:val="28"/>
          <w:lang w:eastAsia="zh-CN"/>
        </w:rPr>
        <w:t>负责</w:t>
      </w:r>
      <w:r>
        <w:rPr>
          <w:rFonts w:hint="default" w:ascii="Times New Roman" w:hAnsi="Times New Roman" w:eastAsia="宋体" w:cs="Times New Roman"/>
          <w:sz w:val="28"/>
          <w:szCs w:val="28"/>
        </w:rPr>
        <w:t>生态保护修复工程的规划指导、监督、检查、组织协调和工程实施，并对其实行目标管理，确保规划设计目标的实现。</w:t>
      </w:r>
    </w:p>
    <w:p>
      <w:pPr>
        <w:pStyle w:val="3"/>
        <w:rPr>
          <w:rFonts w:hint="default" w:ascii="Times New Roman" w:hAnsi="Times New Roman" w:eastAsia="宋体" w:cs="Times New Roman"/>
        </w:rPr>
      </w:pPr>
      <w:bookmarkStart w:id="27" w:name="_Toc155772680"/>
      <w:r>
        <w:rPr>
          <w:rFonts w:hint="default" w:ascii="Times New Roman" w:hAnsi="Times New Roman" w:eastAsia="宋体" w:cs="Times New Roman"/>
        </w:rPr>
        <w:t>三、监管保障</w:t>
      </w:r>
      <w:bookmarkEnd w:id="27"/>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本方案经批准后不得擅自变更。后期方案有重大变更的，矿山需向汨罗市自然资源主管部门申请、县自然资源主管部门有权依法对本方案实施情况进行监督管理。矿山应强化施工管理，严格按照方案要求进行自查，并主动与县自然资源主管部门取得联系，加强与县自然资源主管部门合作，自觉接受县自然资源主管部门的监督管理。</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为保障县自然资源主管部门实施监管工作，矿山应当根据方案编制并实施阶段计划和年度实施计划，定期向县自然资源主管部门报告当年进度情况，接受县自然资源主管部门对方案实施情况的监督检查和社会对方案实施情况监督。</w:t>
      </w:r>
    </w:p>
    <w:p>
      <w:pPr>
        <w:pStyle w:val="3"/>
        <w:rPr>
          <w:rFonts w:hint="default" w:ascii="Times New Roman" w:hAnsi="Times New Roman" w:eastAsia="宋体" w:cs="Times New Roman"/>
        </w:rPr>
      </w:pPr>
      <w:bookmarkStart w:id="28" w:name="_Toc155772681"/>
      <w:r>
        <w:rPr>
          <w:rFonts w:hint="default" w:ascii="Times New Roman" w:hAnsi="Times New Roman" w:eastAsia="宋体" w:cs="Times New Roman"/>
        </w:rPr>
        <w:t>四、适应性管理</w:t>
      </w:r>
      <w:bookmarkEnd w:id="28"/>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生态保护修复实施中，矿山应及时总结阶段性生态保护修复实践经验，制定适应性管理制度，监测矿区水质、生物多样性是否发生新的变化，并根据变化情况及时调整生态保护修复方案及管理方式。</w:t>
      </w:r>
    </w:p>
    <w:p>
      <w:pPr>
        <w:pStyle w:val="3"/>
        <w:rPr>
          <w:rFonts w:hint="default" w:ascii="Times New Roman" w:hAnsi="Times New Roman" w:eastAsia="宋体" w:cs="Times New Roman"/>
        </w:rPr>
      </w:pPr>
      <w:bookmarkStart w:id="29" w:name="_Toc155772682"/>
      <w:r>
        <w:rPr>
          <w:rFonts w:hint="default" w:ascii="Times New Roman" w:hAnsi="Times New Roman" w:eastAsia="宋体" w:cs="Times New Roman"/>
        </w:rPr>
        <w:t>五、公众参与</w:t>
      </w:r>
      <w:bookmarkEnd w:id="29"/>
    </w:p>
    <w:p>
      <w:pPr>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由于矿山开采会给周围的自然环境和社会环境带来影响，直接或间接地影响当地人民群众生活，本次矿山生态保护修复方案报告编制过程中始终遵循公众参与的原则。</w:t>
      </w:r>
    </w:p>
    <w:p>
      <w:pPr>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本项目在生态保护修复方案报告编制过程中，得到了县自然资源局、地方等相关部门的指导和大力支持。通过广泛调查和征求项目区周边当地人民群众的意见和建议，根据项目区的社会经济发展状况，结合可持续发展的要求，和谐发展的理念，使本生态保护修复方案报告书更加科学、合理，各项措施操作性更强。</w:t>
      </w:r>
    </w:p>
    <w:p>
      <w:pPr>
        <w:pStyle w:val="2"/>
        <w:numPr>
          <w:ilvl w:val="0"/>
          <w:numId w:val="1"/>
        </w:numPr>
        <w:jc w:val="center"/>
        <w:rPr>
          <w:rFonts w:hint="default" w:ascii="Times New Roman" w:hAnsi="Times New Roman" w:eastAsia="黑体" w:cs="Times New Roman"/>
        </w:rPr>
      </w:pPr>
      <w:bookmarkStart w:id="30" w:name="_Toc155772683"/>
      <w:r>
        <w:rPr>
          <w:rFonts w:hint="default" w:ascii="Times New Roman" w:hAnsi="Times New Roman" w:eastAsia="黑体" w:cs="Times New Roman"/>
        </w:rPr>
        <w:t>方案可行性分析</w:t>
      </w:r>
      <w:bookmarkEnd w:id="30"/>
    </w:p>
    <w:p>
      <w:pPr>
        <w:pStyle w:val="3"/>
        <w:rPr>
          <w:rFonts w:hint="default" w:ascii="Times New Roman" w:hAnsi="Times New Roman" w:eastAsia="宋体" w:cs="Times New Roman"/>
        </w:rPr>
      </w:pPr>
      <w:bookmarkStart w:id="31" w:name="_Toc155772684"/>
      <w:r>
        <w:rPr>
          <w:rFonts w:hint="default" w:ascii="Times New Roman" w:hAnsi="Times New Roman" w:eastAsia="宋体" w:cs="Times New Roman"/>
        </w:rPr>
        <w:t>一、经济可行性分析</w:t>
      </w:r>
      <w:bookmarkEnd w:id="31"/>
    </w:p>
    <w:p>
      <w:pPr>
        <w:spacing w:line="360" w:lineRule="auto"/>
        <w:ind w:firstLine="562" w:firstLineChars="200"/>
        <w:rPr>
          <w:rFonts w:hint="default" w:ascii="Times New Roman" w:hAnsi="Times New Roman" w:eastAsia="宋体" w:cs="Times New Roman"/>
          <w:b/>
          <w:bCs/>
          <w:sz w:val="28"/>
          <w:szCs w:val="28"/>
          <w:highlight w:val="none"/>
        </w:rPr>
      </w:pPr>
      <w:r>
        <w:rPr>
          <w:rFonts w:hint="default" w:ascii="Times New Roman" w:hAnsi="Times New Roman" w:eastAsia="宋体" w:cs="Times New Roman"/>
          <w:b/>
          <w:bCs/>
          <w:sz w:val="28"/>
          <w:szCs w:val="28"/>
          <w:highlight w:val="none"/>
          <w:lang w:eastAsia="zh-CN"/>
        </w:rPr>
        <w:t>（</w:t>
      </w:r>
      <w:r>
        <w:rPr>
          <w:rFonts w:hint="default" w:ascii="Times New Roman" w:hAnsi="Times New Roman" w:eastAsia="宋体" w:cs="Times New Roman"/>
          <w:b/>
          <w:bCs/>
          <w:sz w:val="28"/>
          <w:szCs w:val="28"/>
          <w:highlight w:val="none"/>
          <w:lang w:val="en-US" w:eastAsia="zh-CN"/>
        </w:rPr>
        <w:t>一</w:t>
      </w:r>
      <w:r>
        <w:rPr>
          <w:rFonts w:hint="default" w:ascii="Times New Roman" w:hAnsi="Times New Roman" w:eastAsia="宋体" w:cs="Times New Roman"/>
          <w:b/>
          <w:bCs/>
          <w:sz w:val="28"/>
          <w:szCs w:val="28"/>
          <w:highlight w:val="none"/>
          <w:lang w:eastAsia="zh-CN"/>
        </w:rPr>
        <w:t>）</w:t>
      </w:r>
      <w:r>
        <w:rPr>
          <w:rFonts w:hint="default" w:ascii="Times New Roman" w:hAnsi="Times New Roman" w:eastAsia="宋体" w:cs="Times New Roman"/>
          <w:b/>
          <w:bCs/>
          <w:sz w:val="28"/>
          <w:szCs w:val="28"/>
          <w:highlight w:val="none"/>
        </w:rPr>
        <w:t>产品数量及销售收入</w:t>
      </w:r>
    </w:p>
    <w:p>
      <w:pPr>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lang w:val="en-US" w:eastAsia="zh-CN"/>
        </w:rPr>
        <w:t>1、</w:t>
      </w:r>
      <w:r>
        <w:rPr>
          <w:rFonts w:hint="default" w:ascii="Times New Roman" w:hAnsi="Times New Roman" w:eastAsia="宋体" w:cs="Times New Roman"/>
          <w:sz w:val="28"/>
          <w:szCs w:val="28"/>
          <w:highlight w:val="none"/>
        </w:rPr>
        <w:t>产品数量</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矿山设计生产规模***万t/a，方案拟按未风化花岗岩矿生产规模***万t/a、全（中）风化花岗岩矿生产规模***万t/a进行经济评价。</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销售收入</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根据目前当地市场情况调查，花岗岩矿碎石价格平均约***元/t、全（中）风化花岗岩矿机制砂价格平均为***元/t、（均为含税不含运费的出厂价）；则正常生产年产品销售收入计算如下：</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正常生产年产品销售收入＝***＋***＝***万元。</w:t>
      </w:r>
    </w:p>
    <w:p>
      <w:pPr>
        <w:spacing w:line="0" w:lineRule="atLeast"/>
        <w:ind w:firstLine="482" w:firstLineChars="200"/>
        <w:jc w:val="center"/>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zh-CN" w:eastAsia="zh-CN"/>
        </w:rPr>
        <w:t>表</w:t>
      </w:r>
      <w:r>
        <w:rPr>
          <w:rFonts w:hint="default" w:ascii="Times New Roman" w:hAnsi="Times New Roman" w:eastAsia="宋体" w:cs="Times New Roman"/>
          <w:b/>
          <w:sz w:val="24"/>
          <w:szCs w:val="24"/>
          <w:lang w:val="en-US" w:eastAsia="zh-CN"/>
        </w:rPr>
        <w:t>7-1项目销售收入计算表</w:t>
      </w:r>
    </w:p>
    <w:tbl>
      <w:tblPr>
        <w:tblStyle w:val="12"/>
        <w:tblW w:w="8336" w:type="dxa"/>
        <w:tblInd w:w="0" w:type="dxa"/>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
      <w:tblGrid>
        <w:gridCol w:w="1212"/>
        <w:gridCol w:w="2306"/>
        <w:gridCol w:w="1584"/>
        <w:gridCol w:w="1516"/>
        <w:gridCol w:w="1718"/>
      </w:tblGrid>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40" w:hRule="atLeast"/>
        </w:trPr>
        <w:tc>
          <w:tcPr>
            <w:tcW w:w="3518" w:type="dxa"/>
            <w:gridSpan w:val="2"/>
            <w:tcBorders>
              <w:tl2br w:val="nil"/>
              <w:tr2bl w:val="nil"/>
            </w:tcBorders>
            <w:vAlign w:val="center"/>
          </w:tcPr>
          <w:p>
            <w:pPr>
              <w:widowControl/>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kern w:val="0"/>
                <w:sz w:val="21"/>
                <w:szCs w:val="21"/>
              </w:rPr>
              <w:t>产品</w:t>
            </w:r>
          </w:p>
        </w:tc>
        <w:tc>
          <w:tcPr>
            <w:tcW w:w="1584" w:type="dxa"/>
            <w:tcBorders>
              <w:tl2br w:val="nil"/>
              <w:tr2bl w:val="nil"/>
            </w:tcBorders>
            <w:vAlign w:val="center"/>
          </w:tcPr>
          <w:p>
            <w:pPr>
              <w:widowControl/>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kern w:val="0"/>
                <w:sz w:val="21"/>
                <w:szCs w:val="21"/>
              </w:rPr>
              <w:t>产量（万吨/年）</w:t>
            </w:r>
          </w:p>
        </w:tc>
        <w:tc>
          <w:tcPr>
            <w:tcW w:w="1516" w:type="dxa"/>
            <w:tcBorders>
              <w:tl2br w:val="nil"/>
              <w:tr2bl w:val="nil"/>
            </w:tcBorders>
            <w:vAlign w:val="center"/>
          </w:tcPr>
          <w:p>
            <w:pPr>
              <w:widowControl/>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kern w:val="0"/>
                <w:sz w:val="21"/>
                <w:szCs w:val="21"/>
              </w:rPr>
              <w:t>单价</w:t>
            </w:r>
            <w:r>
              <w:rPr>
                <w:rFonts w:hint="default" w:ascii="Times New Roman" w:hAnsi="Times New Roman" w:eastAsia="宋体" w:cs="Times New Roman"/>
                <w:b/>
                <w:bCs/>
                <w:kern w:val="0"/>
                <w:sz w:val="21"/>
                <w:szCs w:val="21"/>
                <w:lang w:eastAsia="zh-CN"/>
              </w:rPr>
              <w:t>（</w:t>
            </w:r>
            <w:r>
              <w:rPr>
                <w:rFonts w:hint="default" w:ascii="Times New Roman" w:hAnsi="Times New Roman" w:eastAsia="宋体" w:cs="Times New Roman"/>
                <w:b/>
                <w:bCs/>
                <w:kern w:val="0"/>
                <w:sz w:val="21"/>
                <w:szCs w:val="21"/>
              </w:rPr>
              <w:t>元/吨）</w:t>
            </w:r>
          </w:p>
        </w:tc>
        <w:tc>
          <w:tcPr>
            <w:tcW w:w="1718" w:type="dxa"/>
            <w:tcBorders>
              <w:tl2br w:val="nil"/>
              <w:tr2bl w:val="nil"/>
            </w:tcBorders>
            <w:vAlign w:val="center"/>
          </w:tcPr>
          <w:p>
            <w:pPr>
              <w:widowControl/>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kern w:val="0"/>
                <w:sz w:val="21"/>
                <w:szCs w:val="21"/>
              </w:rPr>
              <w:t>销售收入（万元）</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212" w:type="dxa"/>
            <w:tcBorders>
              <w:tl2br w:val="nil"/>
              <w:tr2bl w:val="nil"/>
            </w:tcBorders>
            <w:vAlign w:val="center"/>
          </w:tcPr>
          <w:p>
            <w:pPr>
              <w:widowControl/>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rPr>
              <w:t>全（中）风化花岗岩矿</w:t>
            </w:r>
          </w:p>
        </w:tc>
        <w:tc>
          <w:tcPr>
            <w:tcW w:w="2306" w:type="dxa"/>
            <w:tcBorders>
              <w:tl2br w:val="nil"/>
              <w:tr2bl w:val="nil"/>
            </w:tcBorders>
            <w:vAlign w:val="center"/>
          </w:tcPr>
          <w:p>
            <w:pPr>
              <w:widowControl/>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rPr>
              <w:t>建筑用砂</w:t>
            </w:r>
          </w:p>
        </w:tc>
        <w:tc>
          <w:tcPr>
            <w:tcW w:w="1584" w:type="dxa"/>
            <w:tcBorders>
              <w:tl2br w:val="nil"/>
              <w:tr2bl w:val="nil"/>
            </w:tcBorders>
            <w:vAlign w:val="center"/>
          </w:tcPr>
          <w:p>
            <w:pPr>
              <w:widowControl/>
              <w:jc w:val="center"/>
              <w:textAlignment w:val="center"/>
              <w:rPr>
                <w:rFonts w:hint="default" w:ascii="Times New Roman" w:hAnsi="Times New Roman" w:eastAsia="宋体" w:cs="Times New Roman"/>
                <w:b w:val="0"/>
                <w:bCs w:val="0"/>
                <w:sz w:val="21"/>
                <w:szCs w:val="21"/>
              </w:rPr>
            </w:pPr>
            <w:r>
              <w:rPr>
                <w:rFonts w:hint="eastAsia"/>
              </w:rPr>
              <w:t>***</w:t>
            </w:r>
          </w:p>
        </w:tc>
        <w:tc>
          <w:tcPr>
            <w:tcW w:w="1516" w:type="dxa"/>
            <w:tcBorders>
              <w:tl2br w:val="nil"/>
              <w:tr2bl w:val="nil"/>
            </w:tcBorders>
            <w:vAlign w:val="center"/>
          </w:tcPr>
          <w:p>
            <w:pPr>
              <w:widowControl/>
              <w:jc w:val="center"/>
              <w:textAlignment w:val="center"/>
              <w:rPr>
                <w:rFonts w:hint="default" w:ascii="Times New Roman" w:hAnsi="Times New Roman" w:eastAsia="宋体" w:cs="Times New Roman"/>
                <w:b w:val="0"/>
                <w:bCs w:val="0"/>
                <w:sz w:val="21"/>
                <w:szCs w:val="21"/>
              </w:rPr>
            </w:pPr>
            <w:r>
              <w:rPr>
                <w:rFonts w:hint="eastAsia"/>
              </w:rPr>
              <w:t>***</w:t>
            </w:r>
          </w:p>
        </w:tc>
        <w:tc>
          <w:tcPr>
            <w:tcW w:w="1718" w:type="dxa"/>
            <w:tcBorders>
              <w:tl2br w:val="nil"/>
              <w:tr2bl w:val="nil"/>
            </w:tcBorders>
            <w:vAlign w:val="center"/>
          </w:tcPr>
          <w:p>
            <w:pPr>
              <w:widowControl/>
              <w:jc w:val="center"/>
              <w:textAlignment w:val="center"/>
              <w:rPr>
                <w:rFonts w:hint="default" w:ascii="Times New Roman" w:hAnsi="Times New Roman" w:eastAsia="宋体" w:cs="Times New Roman"/>
                <w:b w:val="0"/>
                <w:bCs w:val="0"/>
                <w:sz w:val="21"/>
                <w:szCs w:val="21"/>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212" w:type="dxa"/>
            <w:vMerge w:val="restart"/>
            <w:tcBorders>
              <w:tl2br w:val="nil"/>
              <w:tr2bl w:val="nil"/>
            </w:tcBorders>
            <w:vAlign w:val="center"/>
          </w:tcPr>
          <w:p>
            <w:pPr>
              <w:widowControl/>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rPr>
              <w:t>花岗岩矿</w:t>
            </w:r>
          </w:p>
        </w:tc>
        <w:tc>
          <w:tcPr>
            <w:tcW w:w="2306" w:type="dxa"/>
            <w:tcBorders>
              <w:tl2br w:val="nil"/>
              <w:tr2bl w:val="nil"/>
            </w:tcBorders>
            <w:vAlign w:val="center"/>
          </w:tcPr>
          <w:p>
            <w:pPr>
              <w:widowControl/>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rPr>
              <w:t>16～31.5mm（13石）</w:t>
            </w:r>
          </w:p>
        </w:tc>
        <w:tc>
          <w:tcPr>
            <w:tcW w:w="1584" w:type="dxa"/>
            <w:tcBorders>
              <w:tl2br w:val="nil"/>
              <w:tr2bl w:val="nil"/>
            </w:tcBorders>
            <w:vAlign w:val="center"/>
          </w:tcPr>
          <w:p>
            <w:pPr>
              <w:widowControl/>
              <w:jc w:val="center"/>
              <w:textAlignment w:val="center"/>
              <w:rPr>
                <w:rFonts w:hint="default" w:ascii="Times New Roman" w:hAnsi="Times New Roman" w:eastAsia="宋体" w:cs="Times New Roman"/>
                <w:b w:val="0"/>
                <w:bCs w:val="0"/>
                <w:sz w:val="21"/>
                <w:szCs w:val="21"/>
              </w:rPr>
            </w:pPr>
            <w:r>
              <w:rPr>
                <w:rFonts w:hint="eastAsia"/>
              </w:rPr>
              <w:t>***</w:t>
            </w:r>
          </w:p>
        </w:tc>
        <w:tc>
          <w:tcPr>
            <w:tcW w:w="1516" w:type="dxa"/>
            <w:vMerge w:val="restart"/>
            <w:tcBorders>
              <w:tl2br w:val="nil"/>
              <w:tr2bl w:val="nil"/>
            </w:tcBorders>
            <w:vAlign w:val="center"/>
          </w:tcPr>
          <w:p>
            <w:pPr>
              <w:widowControl/>
              <w:jc w:val="center"/>
              <w:textAlignment w:val="center"/>
              <w:rPr>
                <w:rFonts w:hint="eastAsia"/>
              </w:rPr>
            </w:pPr>
            <w:r>
              <w:rPr>
                <w:rFonts w:hint="eastAsia"/>
              </w:rPr>
              <w:t>***</w:t>
            </w:r>
          </w:p>
          <w:p>
            <w:pPr>
              <w:widowControl/>
              <w:jc w:val="center"/>
              <w:textAlignment w:val="center"/>
              <w:rPr>
                <w:rFonts w:hint="eastAsia"/>
              </w:rPr>
            </w:pPr>
            <w:r>
              <w:rPr>
                <w:rFonts w:hint="eastAsia"/>
              </w:rPr>
              <w:t>***</w:t>
            </w:r>
          </w:p>
          <w:p>
            <w:pPr>
              <w:widowControl/>
              <w:jc w:val="center"/>
              <w:textAlignment w:val="center"/>
              <w:rPr>
                <w:rFonts w:hint="eastAsia"/>
              </w:rPr>
            </w:pPr>
            <w:r>
              <w:rPr>
                <w:rFonts w:hint="eastAsia"/>
              </w:rPr>
              <w:t>***</w:t>
            </w:r>
          </w:p>
          <w:p>
            <w:pPr>
              <w:widowControl/>
              <w:jc w:val="center"/>
              <w:textAlignment w:val="center"/>
              <w:rPr>
                <w:rFonts w:hint="default"/>
              </w:rPr>
            </w:pPr>
            <w:r>
              <w:rPr>
                <w:rFonts w:hint="eastAsia"/>
              </w:rPr>
              <w:t>***</w:t>
            </w:r>
          </w:p>
        </w:tc>
        <w:tc>
          <w:tcPr>
            <w:tcW w:w="1718" w:type="dxa"/>
            <w:vMerge w:val="restart"/>
            <w:tcBorders>
              <w:tl2br w:val="nil"/>
              <w:tr2bl w:val="nil"/>
            </w:tcBorders>
            <w:vAlign w:val="center"/>
          </w:tcPr>
          <w:p>
            <w:pPr>
              <w:widowControl/>
              <w:jc w:val="center"/>
              <w:textAlignment w:val="center"/>
              <w:rPr>
                <w:rFonts w:hint="eastAsia"/>
              </w:rPr>
            </w:pPr>
            <w:r>
              <w:rPr>
                <w:rFonts w:hint="eastAsia"/>
              </w:rPr>
              <w:t>***</w:t>
            </w:r>
          </w:p>
          <w:p>
            <w:pPr>
              <w:widowControl/>
              <w:jc w:val="center"/>
              <w:textAlignment w:val="center"/>
              <w:rPr>
                <w:rFonts w:hint="eastAsia"/>
              </w:rPr>
            </w:pPr>
            <w:r>
              <w:rPr>
                <w:rFonts w:hint="eastAsia"/>
              </w:rPr>
              <w:t>***</w:t>
            </w:r>
          </w:p>
          <w:p>
            <w:pPr>
              <w:widowControl/>
              <w:jc w:val="center"/>
              <w:textAlignment w:val="center"/>
              <w:rPr>
                <w:rFonts w:hint="eastAsia"/>
              </w:rPr>
            </w:pPr>
            <w:r>
              <w:rPr>
                <w:rFonts w:hint="eastAsia"/>
              </w:rPr>
              <w:t>***</w:t>
            </w:r>
          </w:p>
          <w:p>
            <w:pPr>
              <w:widowControl/>
              <w:jc w:val="center"/>
              <w:textAlignment w:val="center"/>
              <w:rPr>
                <w:rFonts w:hint="default"/>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212" w:type="dxa"/>
            <w:vMerge w:val="continue"/>
            <w:tcBorders>
              <w:tl2br w:val="nil"/>
              <w:tr2bl w:val="nil"/>
            </w:tcBorders>
            <w:vAlign w:val="center"/>
          </w:tcPr>
          <w:p>
            <w:pPr>
              <w:jc w:val="center"/>
              <w:rPr>
                <w:rFonts w:hint="default" w:ascii="Times New Roman" w:hAnsi="Times New Roman" w:eastAsia="宋体" w:cs="Times New Roman"/>
                <w:b w:val="0"/>
                <w:bCs w:val="0"/>
                <w:sz w:val="21"/>
                <w:szCs w:val="21"/>
              </w:rPr>
            </w:pPr>
          </w:p>
        </w:tc>
        <w:tc>
          <w:tcPr>
            <w:tcW w:w="2306" w:type="dxa"/>
            <w:tcBorders>
              <w:tl2br w:val="nil"/>
              <w:tr2bl w:val="nil"/>
            </w:tcBorders>
            <w:vAlign w:val="center"/>
          </w:tcPr>
          <w:p>
            <w:pPr>
              <w:widowControl/>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rPr>
              <w:t>10～20mm（12石）</w:t>
            </w:r>
          </w:p>
        </w:tc>
        <w:tc>
          <w:tcPr>
            <w:tcW w:w="1584" w:type="dxa"/>
            <w:tcBorders>
              <w:tl2br w:val="nil"/>
              <w:tr2bl w:val="nil"/>
            </w:tcBorders>
            <w:vAlign w:val="center"/>
          </w:tcPr>
          <w:p>
            <w:pPr>
              <w:widowControl/>
              <w:jc w:val="center"/>
              <w:textAlignment w:val="center"/>
              <w:rPr>
                <w:rFonts w:hint="default" w:ascii="Times New Roman" w:hAnsi="Times New Roman" w:eastAsia="宋体" w:cs="Times New Roman"/>
                <w:b w:val="0"/>
                <w:bCs w:val="0"/>
                <w:sz w:val="21"/>
                <w:szCs w:val="21"/>
              </w:rPr>
            </w:pPr>
            <w:r>
              <w:rPr>
                <w:rFonts w:hint="eastAsia"/>
              </w:rPr>
              <w:t>***</w:t>
            </w:r>
          </w:p>
        </w:tc>
        <w:tc>
          <w:tcPr>
            <w:tcW w:w="1516" w:type="dxa"/>
            <w:vMerge w:val="continue"/>
            <w:tcBorders>
              <w:tl2br w:val="nil"/>
              <w:tr2bl w:val="nil"/>
            </w:tcBorders>
            <w:vAlign w:val="center"/>
          </w:tcPr>
          <w:p>
            <w:pPr>
              <w:jc w:val="center"/>
              <w:rPr>
                <w:rFonts w:hint="default" w:ascii="Times New Roman" w:hAnsi="Times New Roman" w:eastAsia="宋体" w:cs="Times New Roman"/>
                <w:b w:val="0"/>
                <w:bCs w:val="0"/>
                <w:sz w:val="21"/>
                <w:szCs w:val="21"/>
              </w:rPr>
            </w:pPr>
          </w:p>
        </w:tc>
        <w:tc>
          <w:tcPr>
            <w:tcW w:w="1718" w:type="dxa"/>
            <w:vMerge w:val="continue"/>
            <w:tcBorders>
              <w:tl2br w:val="nil"/>
              <w:tr2bl w:val="nil"/>
            </w:tcBorders>
            <w:vAlign w:val="center"/>
          </w:tcPr>
          <w:p>
            <w:pPr>
              <w:widowControl/>
              <w:jc w:val="center"/>
              <w:textAlignment w:val="center"/>
              <w:rPr>
                <w:rFonts w:hint="default" w:ascii="Times New Roman" w:hAnsi="Times New Roman" w:eastAsia="宋体" w:cs="Times New Roman"/>
                <w:b w:val="0"/>
                <w:bCs w:val="0"/>
                <w:kern w:val="0"/>
                <w:sz w:val="21"/>
                <w:szCs w:val="21"/>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212" w:type="dxa"/>
            <w:vMerge w:val="continue"/>
            <w:tcBorders>
              <w:tl2br w:val="nil"/>
              <w:tr2bl w:val="nil"/>
            </w:tcBorders>
            <w:vAlign w:val="center"/>
          </w:tcPr>
          <w:p>
            <w:pPr>
              <w:jc w:val="center"/>
              <w:rPr>
                <w:rFonts w:hint="default" w:ascii="Times New Roman" w:hAnsi="Times New Roman" w:eastAsia="宋体" w:cs="Times New Roman"/>
                <w:b w:val="0"/>
                <w:bCs w:val="0"/>
                <w:sz w:val="21"/>
                <w:szCs w:val="21"/>
              </w:rPr>
            </w:pPr>
          </w:p>
        </w:tc>
        <w:tc>
          <w:tcPr>
            <w:tcW w:w="2306" w:type="dxa"/>
            <w:tcBorders>
              <w:tl2br w:val="nil"/>
              <w:tr2bl w:val="nil"/>
            </w:tcBorders>
            <w:vAlign w:val="center"/>
          </w:tcPr>
          <w:p>
            <w:pPr>
              <w:widowControl/>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rPr>
              <w:t>5～10mm（05石）</w:t>
            </w:r>
          </w:p>
        </w:tc>
        <w:tc>
          <w:tcPr>
            <w:tcW w:w="1584" w:type="dxa"/>
            <w:tcBorders>
              <w:tl2br w:val="nil"/>
              <w:tr2bl w:val="nil"/>
            </w:tcBorders>
            <w:vAlign w:val="center"/>
          </w:tcPr>
          <w:p>
            <w:pPr>
              <w:widowControl/>
              <w:jc w:val="center"/>
              <w:textAlignment w:val="center"/>
              <w:rPr>
                <w:rFonts w:hint="default" w:ascii="Times New Roman" w:hAnsi="Times New Roman" w:eastAsia="宋体" w:cs="Times New Roman"/>
                <w:b w:val="0"/>
                <w:bCs w:val="0"/>
                <w:sz w:val="21"/>
                <w:szCs w:val="21"/>
              </w:rPr>
            </w:pPr>
            <w:r>
              <w:rPr>
                <w:rFonts w:hint="eastAsia"/>
              </w:rPr>
              <w:t>***</w:t>
            </w:r>
          </w:p>
        </w:tc>
        <w:tc>
          <w:tcPr>
            <w:tcW w:w="1516" w:type="dxa"/>
            <w:vMerge w:val="continue"/>
            <w:tcBorders>
              <w:tl2br w:val="nil"/>
              <w:tr2bl w:val="nil"/>
            </w:tcBorders>
            <w:vAlign w:val="center"/>
          </w:tcPr>
          <w:p>
            <w:pPr>
              <w:jc w:val="center"/>
              <w:rPr>
                <w:rFonts w:hint="default" w:ascii="Times New Roman" w:hAnsi="Times New Roman" w:eastAsia="宋体" w:cs="Times New Roman"/>
                <w:b w:val="0"/>
                <w:bCs w:val="0"/>
                <w:sz w:val="21"/>
                <w:szCs w:val="21"/>
              </w:rPr>
            </w:pPr>
          </w:p>
        </w:tc>
        <w:tc>
          <w:tcPr>
            <w:tcW w:w="1718" w:type="dxa"/>
            <w:vMerge w:val="continue"/>
            <w:tcBorders>
              <w:tl2br w:val="nil"/>
              <w:tr2bl w:val="nil"/>
            </w:tcBorders>
            <w:vAlign w:val="center"/>
          </w:tcPr>
          <w:p>
            <w:pPr>
              <w:widowControl/>
              <w:jc w:val="center"/>
              <w:textAlignment w:val="center"/>
              <w:rPr>
                <w:rFonts w:hint="default" w:ascii="Times New Roman" w:hAnsi="Times New Roman" w:eastAsia="宋体" w:cs="Times New Roman"/>
                <w:b w:val="0"/>
                <w:bCs w:val="0"/>
                <w:kern w:val="0"/>
                <w:sz w:val="21"/>
                <w:szCs w:val="21"/>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212" w:type="dxa"/>
            <w:vMerge w:val="continue"/>
            <w:tcBorders>
              <w:tl2br w:val="nil"/>
              <w:tr2bl w:val="nil"/>
            </w:tcBorders>
            <w:vAlign w:val="center"/>
          </w:tcPr>
          <w:p>
            <w:pPr>
              <w:jc w:val="center"/>
              <w:rPr>
                <w:rFonts w:hint="default" w:ascii="Times New Roman" w:hAnsi="Times New Roman" w:eastAsia="宋体" w:cs="Times New Roman"/>
                <w:b w:val="0"/>
                <w:bCs w:val="0"/>
                <w:sz w:val="21"/>
                <w:szCs w:val="21"/>
              </w:rPr>
            </w:pPr>
          </w:p>
        </w:tc>
        <w:tc>
          <w:tcPr>
            <w:tcW w:w="2306" w:type="dxa"/>
            <w:tcBorders>
              <w:tl2br w:val="nil"/>
              <w:tr2bl w:val="nil"/>
            </w:tcBorders>
            <w:vAlign w:val="center"/>
          </w:tcPr>
          <w:p>
            <w:pPr>
              <w:widowControl/>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rPr>
              <w:t>石粉</w:t>
            </w:r>
          </w:p>
        </w:tc>
        <w:tc>
          <w:tcPr>
            <w:tcW w:w="1584" w:type="dxa"/>
            <w:tcBorders>
              <w:tl2br w:val="nil"/>
              <w:tr2bl w:val="nil"/>
            </w:tcBorders>
            <w:vAlign w:val="center"/>
          </w:tcPr>
          <w:p>
            <w:pPr>
              <w:widowControl/>
              <w:jc w:val="center"/>
              <w:textAlignment w:val="center"/>
              <w:rPr>
                <w:rFonts w:hint="default" w:ascii="Times New Roman" w:hAnsi="Times New Roman" w:eastAsia="宋体" w:cs="Times New Roman"/>
                <w:b w:val="0"/>
                <w:bCs w:val="0"/>
                <w:sz w:val="21"/>
                <w:szCs w:val="21"/>
              </w:rPr>
            </w:pPr>
            <w:r>
              <w:rPr>
                <w:rFonts w:hint="eastAsia"/>
              </w:rPr>
              <w:t>***</w:t>
            </w:r>
          </w:p>
        </w:tc>
        <w:tc>
          <w:tcPr>
            <w:tcW w:w="1516" w:type="dxa"/>
            <w:vMerge w:val="continue"/>
            <w:tcBorders>
              <w:tl2br w:val="nil"/>
              <w:tr2bl w:val="nil"/>
            </w:tcBorders>
            <w:vAlign w:val="center"/>
          </w:tcPr>
          <w:p>
            <w:pPr>
              <w:jc w:val="center"/>
              <w:rPr>
                <w:rFonts w:hint="default" w:ascii="Times New Roman" w:hAnsi="Times New Roman" w:eastAsia="宋体" w:cs="Times New Roman"/>
                <w:b w:val="0"/>
                <w:bCs w:val="0"/>
                <w:sz w:val="21"/>
                <w:szCs w:val="21"/>
              </w:rPr>
            </w:pPr>
          </w:p>
        </w:tc>
        <w:tc>
          <w:tcPr>
            <w:tcW w:w="1718" w:type="dxa"/>
            <w:vMerge w:val="continue"/>
            <w:tcBorders>
              <w:tl2br w:val="nil"/>
              <w:tr2bl w:val="nil"/>
            </w:tcBorders>
            <w:vAlign w:val="center"/>
          </w:tcPr>
          <w:p>
            <w:pPr>
              <w:widowControl/>
              <w:jc w:val="center"/>
              <w:textAlignment w:val="center"/>
              <w:rPr>
                <w:rFonts w:hint="default" w:ascii="Times New Roman" w:hAnsi="Times New Roman" w:eastAsia="宋体" w:cs="Times New Roman"/>
                <w:b w:val="0"/>
                <w:bCs w:val="0"/>
                <w:kern w:val="0"/>
                <w:sz w:val="21"/>
                <w:szCs w:val="21"/>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212" w:type="dxa"/>
            <w:vMerge w:val="continue"/>
            <w:tcBorders>
              <w:tl2br w:val="nil"/>
              <w:tr2bl w:val="nil"/>
            </w:tcBorders>
            <w:vAlign w:val="center"/>
          </w:tcPr>
          <w:p>
            <w:pPr>
              <w:jc w:val="center"/>
              <w:rPr>
                <w:rFonts w:hint="default" w:ascii="Times New Roman" w:hAnsi="Times New Roman" w:eastAsia="宋体" w:cs="Times New Roman"/>
                <w:b w:val="0"/>
                <w:bCs w:val="0"/>
                <w:sz w:val="21"/>
                <w:szCs w:val="21"/>
              </w:rPr>
            </w:pPr>
          </w:p>
        </w:tc>
        <w:tc>
          <w:tcPr>
            <w:tcW w:w="2306" w:type="dxa"/>
            <w:tcBorders>
              <w:tl2br w:val="nil"/>
              <w:tr2bl w:val="nil"/>
            </w:tcBorders>
            <w:vAlign w:val="center"/>
          </w:tcPr>
          <w:p>
            <w:pPr>
              <w:widowControl/>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rPr>
              <w:t>小计</w:t>
            </w:r>
          </w:p>
        </w:tc>
        <w:tc>
          <w:tcPr>
            <w:tcW w:w="1584" w:type="dxa"/>
            <w:tcBorders>
              <w:tl2br w:val="nil"/>
              <w:tr2bl w:val="nil"/>
            </w:tcBorders>
            <w:vAlign w:val="center"/>
          </w:tcPr>
          <w:p>
            <w:pPr>
              <w:widowControl/>
              <w:jc w:val="center"/>
              <w:textAlignment w:val="center"/>
              <w:rPr>
                <w:rFonts w:hint="default" w:ascii="Times New Roman" w:hAnsi="Times New Roman" w:eastAsia="宋体" w:cs="Times New Roman"/>
                <w:b w:val="0"/>
                <w:bCs w:val="0"/>
                <w:sz w:val="21"/>
                <w:szCs w:val="21"/>
              </w:rPr>
            </w:pPr>
            <w:r>
              <w:rPr>
                <w:rFonts w:hint="eastAsia"/>
              </w:rPr>
              <w:t>***</w:t>
            </w:r>
          </w:p>
        </w:tc>
        <w:tc>
          <w:tcPr>
            <w:tcW w:w="1516" w:type="dxa"/>
            <w:tcBorders>
              <w:tl2br w:val="nil"/>
              <w:tr2bl w:val="nil"/>
            </w:tcBorders>
            <w:vAlign w:val="center"/>
          </w:tcPr>
          <w:p>
            <w:pPr>
              <w:jc w:val="center"/>
              <w:rPr>
                <w:rFonts w:hint="default" w:ascii="Times New Roman" w:hAnsi="Times New Roman" w:eastAsia="宋体" w:cs="Times New Roman"/>
                <w:b w:val="0"/>
                <w:bCs w:val="0"/>
                <w:sz w:val="21"/>
                <w:szCs w:val="21"/>
              </w:rPr>
            </w:pPr>
            <w:r>
              <w:rPr>
                <w:rFonts w:hint="eastAsia"/>
              </w:rPr>
              <w:t>***</w:t>
            </w:r>
          </w:p>
        </w:tc>
        <w:tc>
          <w:tcPr>
            <w:tcW w:w="1718" w:type="dxa"/>
            <w:tcBorders>
              <w:tl2br w:val="nil"/>
              <w:tr2bl w:val="nil"/>
            </w:tcBorders>
            <w:vAlign w:val="center"/>
          </w:tcPr>
          <w:p>
            <w:pPr>
              <w:widowControl/>
              <w:jc w:val="center"/>
              <w:textAlignment w:val="center"/>
              <w:rPr>
                <w:rFonts w:hint="default" w:ascii="Times New Roman" w:hAnsi="Times New Roman" w:eastAsia="宋体" w:cs="Times New Roman"/>
                <w:b w:val="0"/>
                <w:bCs w:val="0"/>
                <w:kern w:val="0"/>
                <w:sz w:val="21"/>
                <w:szCs w:val="21"/>
              </w:rPr>
            </w:pPr>
            <w:r>
              <w:rPr>
                <w:rFonts w:hint="eastAsia"/>
              </w:rPr>
              <w:t>***</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212" w:type="dxa"/>
            <w:tcBorders>
              <w:tl2br w:val="nil"/>
              <w:tr2bl w:val="nil"/>
            </w:tcBorders>
            <w:vAlign w:val="center"/>
          </w:tcPr>
          <w:p>
            <w:pPr>
              <w:jc w:val="center"/>
              <w:rPr>
                <w:rFonts w:hint="default" w:ascii="Times New Roman" w:hAnsi="Times New Roman" w:eastAsia="宋体" w:cs="Times New Roman"/>
                <w:b w:val="0"/>
                <w:bCs w:val="0"/>
                <w:sz w:val="21"/>
                <w:szCs w:val="21"/>
              </w:rPr>
            </w:pPr>
          </w:p>
        </w:tc>
        <w:tc>
          <w:tcPr>
            <w:tcW w:w="2306" w:type="dxa"/>
            <w:tcBorders>
              <w:tl2br w:val="nil"/>
              <w:tr2bl w:val="nil"/>
            </w:tcBorders>
            <w:vAlign w:val="center"/>
          </w:tcPr>
          <w:p>
            <w:pPr>
              <w:widowControl/>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rPr>
              <w:t>合计</w:t>
            </w:r>
          </w:p>
        </w:tc>
        <w:tc>
          <w:tcPr>
            <w:tcW w:w="1584" w:type="dxa"/>
            <w:tcBorders>
              <w:tl2br w:val="nil"/>
              <w:tr2bl w:val="nil"/>
            </w:tcBorders>
            <w:vAlign w:val="center"/>
          </w:tcPr>
          <w:p>
            <w:pPr>
              <w:widowControl/>
              <w:jc w:val="center"/>
              <w:textAlignment w:val="center"/>
              <w:rPr>
                <w:rFonts w:hint="default" w:ascii="Times New Roman" w:hAnsi="Times New Roman" w:eastAsia="宋体" w:cs="Times New Roman"/>
                <w:b w:val="0"/>
                <w:bCs w:val="0"/>
                <w:sz w:val="21"/>
                <w:szCs w:val="21"/>
                <w:lang w:eastAsia="zh-CN"/>
              </w:rPr>
            </w:pPr>
            <w:r>
              <w:rPr>
                <w:rFonts w:hint="eastAsia"/>
              </w:rPr>
              <w:t>***</w:t>
            </w:r>
          </w:p>
        </w:tc>
        <w:tc>
          <w:tcPr>
            <w:tcW w:w="1516" w:type="dxa"/>
            <w:tcBorders>
              <w:tl2br w:val="nil"/>
              <w:tr2bl w:val="nil"/>
            </w:tcBorders>
            <w:vAlign w:val="center"/>
          </w:tcPr>
          <w:p>
            <w:pPr>
              <w:jc w:val="center"/>
              <w:rPr>
                <w:rFonts w:hint="default" w:ascii="Times New Roman" w:hAnsi="Times New Roman" w:eastAsia="宋体" w:cs="Times New Roman"/>
                <w:b w:val="0"/>
                <w:bCs w:val="0"/>
                <w:kern w:val="0"/>
                <w:sz w:val="21"/>
                <w:szCs w:val="21"/>
              </w:rPr>
            </w:pPr>
            <w:r>
              <w:rPr>
                <w:rFonts w:hint="eastAsia"/>
              </w:rPr>
              <w:t>***</w:t>
            </w:r>
          </w:p>
        </w:tc>
        <w:tc>
          <w:tcPr>
            <w:tcW w:w="1718" w:type="dxa"/>
            <w:tcBorders>
              <w:tl2br w:val="nil"/>
              <w:tr2bl w:val="nil"/>
            </w:tcBorders>
            <w:vAlign w:val="center"/>
          </w:tcPr>
          <w:p>
            <w:pPr>
              <w:widowControl/>
              <w:jc w:val="center"/>
              <w:textAlignment w:val="center"/>
              <w:rPr>
                <w:rFonts w:hint="default" w:ascii="Times New Roman" w:hAnsi="Times New Roman" w:eastAsia="宋体" w:cs="Times New Roman"/>
                <w:b w:val="0"/>
                <w:bCs w:val="0"/>
                <w:kern w:val="0"/>
                <w:sz w:val="21"/>
                <w:szCs w:val="21"/>
              </w:rPr>
            </w:pPr>
            <w:r>
              <w:rPr>
                <w:rFonts w:hint="eastAsia"/>
              </w:rPr>
              <w:t>***</w:t>
            </w:r>
          </w:p>
        </w:tc>
      </w:tr>
    </w:tbl>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b/>
          <w:bCs/>
          <w:sz w:val="28"/>
          <w:szCs w:val="28"/>
          <w:lang w:val="en-US" w:eastAsia="zh-CN"/>
        </w:rPr>
        <w:t>二</w:t>
      </w: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b/>
          <w:bCs/>
          <w:sz w:val="28"/>
          <w:szCs w:val="28"/>
        </w:rPr>
        <w:t>产品成本</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接成本</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根据同类矿山情况调查及矿山以往产品成本统计，本矿山全（中）风化花岗岩矿矿石开采成本为***元/t，矿石运输成本约***元/t、加工成本***元/t，则每年矿石直接成本＝***万元。</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花岗岩矿矿石开采成本为***元/t，矿石运输成本约***元/t、加工成本***元/t，则每年矿石直接成本＝***万元。</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直接成本=***万元</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资源购置费</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参照湖南省自然资源厅发布《湖南省矿业权出让收益市场基准价（2021年版）》，岳阳地区花岗岩矿采矿权出让收益市场基准价为***元/吨·矿石，估算矿权出让收益为***万元，扣除首期缴纳（40%）***万元后，剩余***万元分年度计入成本，矿山服务年限为***年，每年资源购置费=***万元。</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（注：本方案资源购置费仅按采矿权出让收益基准价***元/t估算，</w:t>
      </w:r>
      <w:bookmarkStart w:id="32" w:name="_Hlk110701967"/>
      <w:r>
        <w:rPr>
          <w:rFonts w:hint="default" w:ascii="Times New Roman" w:hAnsi="Times New Roman" w:eastAsia="宋体" w:cs="Times New Roman"/>
          <w:sz w:val="28"/>
          <w:szCs w:val="28"/>
        </w:rPr>
        <w:t>最终出让成交价一般大于基准价</w:t>
      </w:r>
      <w:bookmarkEnd w:id="32"/>
      <w:r>
        <w:rPr>
          <w:rFonts w:hint="default" w:ascii="Times New Roman" w:hAnsi="Times New Roman" w:eastAsia="宋体" w:cs="Times New Roman"/>
          <w:sz w:val="28"/>
          <w:szCs w:val="28"/>
        </w:rPr>
        <w:t>，因此本方案投资估算的收益偏大，投资者应注意风险）。</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因此，年产品成本＝***万元。</w:t>
      </w:r>
    </w:p>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b/>
          <w:bCs/>
          <w:sz w:val="28"/>
          <w:szCs w:val="28"/>
          <w:lang w:val="en-US" w:eastAsia="zh-CN"/>
        </w:rPr>
        <w:t>三</w:t>
      </w: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b/>
          <w:bCs/>
          <w:sz w:val="28"/>
          <w:szCs w:val="28"/>
        </w:rPr>
        <w:t>增值税</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根据财政部国家税务总局《关于简并增值税征收率政策的通知》，一般纳税人销售建筑用和生产建筑材料所用的砂、土、石料，适用3﹪的征收率，则年增值税＝***万元。</w:t>
      </w:r>
    </w:p>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b/>
          <w:bCs/>
          <w:sz w:val="28"/>
          <w:szCs w:val="28"/>
          <w:lang w:val="en-US" w:eastAsia="zh-CN"/>
        </w:rPr>
        <w:t>四</w:t>
      </w: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b/>
          <w:bCs/>
          <w:sz w:val="28"/>
          <w:szCs w:val="28"/>
        </w:rPr>
        <w:t>销售税金附加</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销售税金附加包括城建税及教育费附加，分别为增值税的5</w:t>
      </w:r>
      <w:r>
        <w:rPr>
          <w:rFonts w:hint="default" w:ascii="Times New Roman" w:hAnsi="Times New Roman" w:eastAsia="宋体" w:cs="Times New Roman"/>
          <w:sz w:val="28"/>
          <w:szCs w:val="28"/>
          <w:lang w:val="en-US" w:eastAsia="zh-CN"/>
        </w:rPr>
        <w:t>%</w:t>
      </w:r>
      <w:r>
        <w:rPr>
          <w:rFonts w:hint="default" w:ascii="Times New Roman" w:hAnsi="Times New Roman" w:eastAsia="宋体" w:cs="Times New Roman"/>
          <w:sz w:val="28"/>
          <w:szCs w:val="28"/>
        </w:rPr>
        <w:t>和3</w:t>
      </w:r>
      <w:r>
        <w:rPr>
          <w:rFonts w:hint="default" w:ascii="Times New Roman" w:hAnsi="Times New Roman" w:eastAsia="宋体" w:cs="Times New Roman"/>
          <w:sz w:val="28"/>
          <w:szCs w:val="28"/>
          <w:lang w:val="en-US" w:eastAsia="zh-CN"/>
        </w:rPr>
        <w:t>%</w:t>
      </w:r>
      <w:r>
        <w:rPr>
          <w:rFonts w:hint="default" w:ascii="Times New Roman" w:hAnsi="Times New Roman" w:eastAsia="宋体" w:cs="Times New Roman"/>
          <w:sz w:val="28"/>
          <w:szCs w:val="28"/>
        </w:rPr>
        <w:t>，则销售税金附加＝***×8</w:t>
      </w:r>
      <w:r>
        <w:rPr>
          <w:rFonts w:hint="default" w:ascii="Times New Roman" w:hAnsi="Times New Roman" w:eastAsia="宋体" w:cs="Times New Roman"/>
          <w:sz w:val="28"/>
          <w:szCs w:val="28"/>
          <w:lang w:val="en-US" w:eastAsia="zh-CN"/>
        </w:rPr>
        <w:t>%</w:t>
      </w:r>
      <w:r>
        <w:rPr>
          <w:rFonts w:hint="default" w:ascii="Times New Roman" w:hAnsi="Times New Roman" w:eastAsia="宋体" w:cs="Times New Roman"/>
          <w:sz w:val="28"/>
          <w:szCs w:val="28"/>
        </w:rPr>
        <w:t>＝***万元。</w:t>
      </w:r>
    </w:p>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b/>
          <w:bCs/>
          <w:sz w:val="28"/>
          <w:szCs w:val="28"/>
          <w:lang w:val="en-US" w:eastAsia="zh-CN"/>
        </w:rPr>
        <w:t>五</w:t>
      </w: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b/>
          <w:bCs/>
          <w:sz w:val="28"/>
          <w:szCs w:val="28"/>
        </w:rPr>
        <w:t>资源税</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资源税根据《湖南省人民代表大会常务委员会关于资源税具体适用税率等事项的决定》，砂石资源税实行从价计征，按销售收入的2%进行估算，则资源税＝***×2</w:t>
      </w:r>
      <w:r>
        <w:rPr>
          <w:rFonts w:hint="default" w:ascii="Times New Roman" w:hAnsi="Times New Roman" w:eastAsia="宋体" w:cs="Times New Roman"/>
          <w:sz w:val="28"/>
          <w:szCs w:val="28"/>
          <w:lang w:val="en-US" w:eastAsia="zh-CN"/>
        </w:rPr>
        <w:t>%</w:t>
      </w:r>
      <w:r>
        <w:rPr>
          <w:rFonts w:hint="default" w:ascii="Times New Roman" w:hAnsi="Times New Roman" w:eastAsia="宋体" w:cs="Times New Roman"/>
          <w:sz w:val="28"/>
          <w:szCs w:val="28"/>
        </w:rPr>
        <w:t>＝***万元。</w:t>
      </w:r>
    </w:p>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b/>
          <w:bCs/>
          <w:sz w:val="28"/>
          <w:szCs w:val="28"/>
          <w:lang w:val="en-US" w:eastAsia="zh-CN"/>
        </w:rPr>
        <w:t>六</w:t>
      </w: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b/>
          <w:bCs/>
          <w:sz w:val="28"/>
          <w:szCs w:val="28"/>
        </w:rPr>
        <w:t>环境保护税</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根据2018年1月1日起施行的《环境保护税法》，按矿山固体废弃物污染征收***元/t估算；未来矿山剥离外排量约***万</w:t>
      </w:r>
      <w:r>
        <w:rPr>
          <w:rFonts w:hint="default" w:ascii="Times New Roman" w:hAnsi="Times New Roman" w:eastAsia="宋体" w:cs="Times New Roman"/>
          <w:sz w:val="28"/>
          <w:szCs w:val="28"/>
          <w:lang w:eastAsia="zh-CN"/>
        </w:rPr>
        <w:t>m³</w:t>
      </w:r>
      <w:r>
        <w:rPr>
          <w:rFonts w:hint="default" w:ascii="Times New Roman" w:hAnsi="Times New Roman" w:eastAsia="宋体" w:cs="Times New Roman"/>
          <w:sz w:val="28"/>
          <w:szCs w:val="28"/>
        </w:rPr>
        <w:t>，废土按比重***t/</w:t>
      </w:r>
      <w:r>
        <w:rPr>
          <w:rFonts w:hint="default" w:ascii="Times New Roman" w:hAnsi="Times New Roman" w:eastAsia="宋体" w:cs="Times New Roman"/>
          <w:sz w:val="28"/>
          <w:szCs w:val="28"/>
          <w:lang w:eastAsia="zh-CN"/>
        </w:rPr>
        <w:t>m³</w:t>
      </w:r>
      <w:r>
        <w:rPr>
          <w:rFonts w:hint="default" w:ascii="Times New Roman" w:hAnsi="Times New Roman" w:eastAsia="宋体" w:cs="Times New Roman"/>
          <w:sz w:val="28"/>
          <w:szCs w:val="28"/>
        </w:rPr>
        <w:t>计算，年环境保护税约***万元。</w:t>
      </w:r>
    </w:p>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b/>
          <w:bCs/>
          <w:sz w:val="28"/>
          <w:szCs w:val="28"/>
          <w:lang w:val="en-US" w:eastAsia="zh-CN"/>
        </w:rPr>
        <w:t>七</w:t>
      </w: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b/>
          <w:bCs/>
          <w:sz w:val="28"/>
          <w:szCs w:val="28"/>
        </w:rPr>
        <w:t>所得税</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依据2008年元月1日起</w:t>
      </w:r>
      <w:r>
        <w:rPr>
          <w:rFonts w:hint="default" w:ascii="Times New Roman" w:hAnsi="Times New Roman" w:eastAsia="宋体" w:cs="Times New Roman"/>
          <w:sz w:val="28"/>
          <w:szCs w:val="28"/>
          <w:lang w:eastAsia="zh-CN"/>
        </w:rPr>
        <w:t>施行</w:t>
      </w:r>
      <w:r>
        <w:rPr>
          <w:rFonts w:hint="default" w:ascii="Times New Roman" w:hAnsi="Times New Roman" w:eastAsia="宋体" w:cs="Times New Roman"/>
          <w:sz w:val="28"/>
          <w:szCs w:val="28"/>
        </w:rPr>
        <w:t>的《中华人民共和国企业所得税法暂行条例》规定，所得税率按销售利润的25﹪计取。</w:t>
      </w:r>
    </w:p>
    <w:p>
      <w:pPr>
        <w:spacing w:line="360" w:lineRule="auto"/>
        <w:ind w:firstLine="562" w:firstLineChars="20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b/>
          <w:bCs/>
          <w:sz w:val="28"/>
          <w:szCs w:val="28"/>
          <w:lang w:val="en-US" w:eastAsia="zh-CN"/>
        </w:rPr>
        <w:t>八</w:t>
      </w: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b/>
          <w:bCs/>
          <w:sz w:val="28"/>
          <w:szCs w:val="28"/>
        </w:rPr>
        <w:t>其他</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采矿权使用费：***万元/</w:t>
      </w:r>
      <w:r>
        <w:rPr>
          <w:rFonts w:hint="eastAsia" w:ascii="Times New Roman" w:hAnsi="Times New Roman" w:eastAsia="宋体" w:cs="Times New Roman"/>
          <w:sz w:val="28"/>
          <w:szCs w:val="28"/>
          <w:lang w:eastAsia="zh-CN"/>
        </w:rPr>
        <w:t>km²</w:t>
      </w:r>
      <w:r>
        <w:rPr>
          <w:rFonts w:hint="default" w:ascii="Times New Roman" w:hAnsi="Times New Roman" w:eastAsia="宋体" w:cs="Times New Roman"/>
          <w:sz w:val="28"/>
          <w:szCs w:val="28"/>
        </w:rPr>
        <w:t>.a（不足1</w:t>
      </w:r>
      <w:r>
        <w:rPr>
          <w:rFonts w:hint="eastAsia" w:ascii="Times New Roman" w:hAnsi="Times New Roman" w:eastAsia="宋体" w:cs="Times New Roman"/>
          <w:sz w:val="28"/>
          <w:szCs w:val="28"/>
          <w:lang w:val="en-US" w:eastAsia="zh-CN"/>
        </w:rPr>
        <w:t>km</w:t>
      </w:r>
      <w:r>
        <w:rPr>
          <w:rFonts w:hint="eastAsia" w:ascii="Times New Roman" w:hAnsi="Times New Roman" w:eastAsia="宋体" w:cs="Times New Roman"/>
          <w:sz w:val="28"/>
          <w:szCs w:val="28"/>
          <w:vertAlign w:val="superscript"/>
          <w:lang w:val="en-US" w:eastAsia="zh-CN"/>
        </w:rPr>
        <w:t>2</w:t>
      </w:r>
      <w:r>
        <w:rPr>
          <w:rFonts w:hint="default" w:ascii="Times New Roman" w:hAnsi="Times New Roman" w:eastAsia="宋体" w:cs="Times New Roman"/>
          <w:sz w:val="28"/>
          <w:szCs w:val="28"/>
        </w:rPr>
        <w:t>按1</w:t>
      </w:r>
      <w:r>
        <w:rPr>
          <w:rFonts w:hint="eastAsia" w:ascii="Times New Roman" w:hAnsi="Times New Roman" w:eastAsia="宋体" w:cs="Times New Roman"/>
          <w:sz w:val="28"/>
          <w:szCs w:val="28"/>
          <w:lang w:val="en-US" w:eastAsia="zh-CN"/>
        </w:rPr>
        <w:t>km</w:t>
      </w:r>
      <w:r>
        <w:rPr>
          <w:rFonts w:hint="eastAsia" w:ascii="Times New Roman" w:hAnsi="Times New Roman" w:eastAsia="宋体" w:cs="Times New Roman"/>
          <w:sz w:val="28"/>
          <w:szCs w:val="28"/>
          <w:vertAlign w:val="superscript"/>
          <w:lang w:val="en-US" w:eastAsia="zh-CN"/>
        </w:rPr>
        <w:t>2</w:t>
      </w:r>
      <w:r>
        <w:rPr>
          <w:rFonts w:hint="default" w:ascii="Times New Roman" w:hAnsi="Times New Roman" w:eastAsia="宋体" w:cs="Times New Roman"/>
          <w:sz w:val="28"/>
          <w:szCs w:val="28"/>
        </w:rPr>
        <w:t>计）。</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矿山维</w:t>
      </w:r>
      <w:r>
        <w:rPr>
          <w:rFonts w:hint="default" w:ascii="Times New Roman" w:hAnsi="Times New Roman" w:eastAsia="宋体" w:cs="Times New Roman"/>
          <w:sz w:val="28"/>
          <w:szCs w:val="28"/>
          <w:lang w:eastAsia="zh-CN"/>
        </w:rPr>
        <w:t>修</w:t>
      </w:r>
      <w:r>
        <w:rPr>
          <w:rFonts w:hint="default" w:ascii="Times New Roman" w:hAnsi="Times New Roman" w:eastAsia="宋体" w:cs="Times New Roman"/>
          <w:sz w:val="28"/>
          <w:szCs w:val="28"/>
        </w:rPr>
        <w:t>费：按***元/t提取。</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rPr>
        <w:t>矿山安全费用：根据《企业安全生产费用提取和使用管理办法》（财企[2012]16号），非金属露天矿山按***元/t提取。</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rPr>
        <w:t>生态保护修复费用：***元/t。</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根据以上</w:t>
      </w:r>
      <w:r>
        <w:rPr>
          <w:rFonts w:hint="default" w:ascii="Times New Roman" w:hAnsi="Times New Roman" w:eastAsia="宋体" w:cs="Times New Roman"/>
          <w:sz w:val="28"/>
          <w:szCs w:val="28"/>
        </w:rPr>
        <w:t>初步估算，矿山在未来达产（***万t/a）生产经营中，每年将为国家增收各种税费***万元，企业也将获得***万元的净利润，不仅为国家创造财富，而且可以增加就业岗位，大大促进地方经济的发展。</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综上所述，本项目矿山保有资源储量大，开发利用条件较好，矿石质量优良，收益可观，且满足投资回收的要求，项目</w:t>
      </w:r>
      <w:r>
        <w:rPr>
          <w:rFonts w:hint="default" w:ascii="Times New Roman" w:hAnsi="Times New Roman" w:eastAsia="宋体" w:cs="Times New Roman"/>
          <w:sz w:val="28"/>
          <w:szCs w:val="28"/>
          <w:lang w:val="en-US" w:eastAsia="zh-CN"/>
        </w:rPr>
        <w:t>经济上</w:t>
      </w:r>
      <w:r>
        <w:rPr>
          <w:rFonts w:hint="default" w:ascii="Times New Roman" w:hAnsi="Times New Roman" w:eastAsia="宋体" w:cs="Times New Roman"/>
          <w:sz w:val="28"/>
          <w:szCs w:val="28"/>
        </w:rPr>
        <w:t>可行。</w:t>
      </w:r>
    </w:p>
    <w:p>
      <w:pPr>
        <w:spacing w:line="0" w:lineRule="atLeast"/>
        <w:ind w:firstLine="482" w:firstLineChars="200"/>
        <w:jc w:val="center"/>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表7-2矿山主要财务指标统计表</w:t>
      </w:r>
    </w:p>
    <w:tbl>
      <w:tblPr>
        <w:tblStyle w:val="12"/>
        <w:tblW w:w="8506" w:type="dxa"/>
        <w:tblInd w:w="-34"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992"/>
        <w:gridCol w:w="1134"/>
        <w:gridCol w:w="3828"/>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709"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bCs w:val="0"/>
                <w:kern w:val="0"/>
                <w:sz w:val="21"/>
                <w:szCs w:val="21"/>
                <w:lang w:val="en-US" w:eastAsia="zh-CN" w:bidi="ar-SA"/>
              </w:rPr>
            </w:pPr>
            <w:r>
              <w:rPr>
                <w:rFonts w:hint="default" w:ascii="Times New Roman" w:hAnsi="Times New Roman" w:eastAsia="宋体" w:cs="Times New Roman"/>
                <w:b/>
                <w:bCs w:val="0"/>
                <w:kern w:val="0"/>
                <w:sz w:val="21"/>
                <w:szCs w:val="21"/>
                <w:lang w:val="en-US" w:eastAsia="zh-CN" w:bidi="ar-SA"/>
              </w:rPr>
              <w:t>序号</w:t>
            </w:r>
          </w:p>
        </w:tc>
        <w:tc>
          <w:tcPr>
            <w:tcW w:w="1843"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bCs w:val="0"/>
                <w:kern w:val="0"/>
                <w:sz w:val="21"/>
                <w:szCs w:val="21"/>
                <w:lang w:val="en-US" w:eastAsia="zh-CN" w:bidi="ar-SA"/>
              </w:rPr>
            </w:pPr>
            <w:r>
              <w:rPr>
                <w:rFonts w:hint="default" w:ascii="Times New Roman" w:hAnsi="Times New Roman" w:eastAsia="宋体" w:cs="Times New Roman"/>
                <w:b/>
                <w:bCs w:val="0"/>
                <w:kern w:val="0"/>
                <w:sz w:val="21"/>
                <w:szCs w:val="21"/>
                <w:lang w:val="en-US" w:eastAsia="zh-CN" w:bidi="ar-SA"/>
              </w:rPr>
              <w:t>主要财务指标</w:t>
            </w:r>
          </w:p>
        </w:tc>
        <w:tc>
          <w:tcPr>
            <w:tcW w:w="992"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bCs w:val="0"/>
                <w:kern w:val="0"/>
                <w:sz w:val="21"/>
                <w:szCs w:val="21"/>
                <w:lang w:val="en-US" w:eastAsia="zh-CN" w:bidi="ar-SA"/>
              </w:rPr>
            </w:pPr>
            <w:r>
              <w:rPr>
                <w:rFonts w:hint="default" w:ascii="Times New Roman" w:hAnsi="Times New Roman" w:eastAsia="宋体" w:cs="Times New Roman"/>
                <w:b/>
                <w:bCs w:val="0"/>
                <w:kern w:val="0"/>
                <w:sz w:val="21"/>
                <w:szCs w:val="21"/>
                <w:lang w:val="en-US" w:eastAsia="zh-CN" w:bidi="ar-SA"/>
              </w:rPr>
              <w:t>单位</w:t>
            </w:r>
          </w:p>
        </w:tc>
        <w:tc>
          <w:tcPr>
            <w:tcW w:w="1134"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bCs w:val="0"/>
                <w:kern w:val="0"/>
                <w:sz w:val="21"/>
                <w:szCs w:val="21"/>
                <w:lang w:val="en-US" w:eastAsia="zh-CN" w:bidi="ar-SA"/>
              </w:rPr>
            </w:pPr>
            <w:r>
              <w:rPr>
                <w:rFonts w:hint="default" w:ascii="Times New Roman" w:hAnsi="Times New Roman" w:eastAsia="宋体" w:cs="Times New Roman"/>
                <w:b/>
                <w:bCs w:val="0"/>
                <w:kern w:val="0"/>
                <w:sz w:val="21"/>
                <w:szCs w:val="21"/>
                <w:lang w:val="en-US" w:eastAsia="zh-CN" w:bidi="ar-SA"/>
              </w:rPr>
              <w:t>指标值</w:t>
            </w:r>
          </w:p>
        </w:tc>
        <w:tc>
          <w:tcPr>
            <w:tcW w:w="3828"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bCs w:val="0"/>
                <w:kern w:val="0"/>
                <w:sz w:val="21"/>
                <w:szCs w:val="21"/>
                <w:lang w:val="en-US" w:eastAsia="zh-CN" w:bidi="ar-SA"/>
              </w:rPr>
            </w:pPr>
            <w:r>
              <w:rPr>
                <w:rFonts w:hint="default" w:ascii="Times New Roman" w:hAnsi="Times New Roman" w:eastAsia="宋体" w:cs="Times New Roman"/>
                <w:b/>
                <w:bCs w:val="0"/>
                <w:kern w:val="0"/>
                <w:sz w:val="21"/>
                <w:szCs w:val="21"/>
                <w:lang w:val="en-US" w:eastAsia="zh-CN" w:bidi="ar-SA"/>
              </w:rPr>
              <w:t>备注</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zh-CN" w:eastAsia="zh-CN" w:bidi="ar-SA"/>
              </w:rPr>
            </w:pPr>
            <w:r>
              <w:rPr>
                <w:rFonts w:hint="default" w:ascii="Times New Roman" w:hAnsi="Times New Roman" w:eastAsia="宋体" w:cs="Times New Roman"/>
                <w:b w:val="0"/>
                <w:bCs/>
                <w:kern w:val="0"/>
                <w:sz w:val="21"/>
                <w:szCs w:val="21"/>
                <w:lang w:val="zh-CN" w:eastAsia="zh-CN" w:bidi="ar-SA"/>
              </w:rPr>
              <w:t>1</w:t>
            </w:r>
          </w:p>
        </w:tc>
        <w:tc>
          <w:tcPr>
            <w:tcW w:w="1843"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zh-CN" w:eastAsia="zh-CN" w:bidi="ar-SA"/>
              </w:rPr>
            </w:pPr>
            <w:r>
              <w:rPr>
                <w:rFonts w:hint="default" w:ascii="Times New Roman" w:hAnsi="Times New Roman" w:eastAsia="宋体" w:cs="Times New Roman"/>
                <w:b w:val="0"/>
                <w:bCs/>
                <w:kern w:val="0"/>
                <w:sz w:val="21"/>
                <w:szCs w:val="21"/>
                <w:lang w:val="zh-CN" w:eastAsia="zh-CN" w:bidi="ar-SA"/>
              </w:rPr>
              <w:t>年销售收入</w:t>
            </w:r>
          </w:p>
        </w:tc>
        <w:tc>
          <w:tcPr>
            <w:tcW w:w="992"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zh-CN" w:eastAsia="zh-CN" w:bidi="ar-SA"/>
              </w:rPr>
              <w:t>万元</w:t>
            </w:r>
          </w:p>
        </w:tc>
        <w:tc>
          <w:tcPr>
            <w:tcW w:w="1134"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kern w:val="0"/>
                <w:sz w:val="21"/>
                <w:szCs w:val="21"/>
              </w:rPr>
            </w:pPr>
            <w:r>
              <w:rPr>
                <w:rFonts w:hint="eastAsia"/>
              </w:rPr>
              <w:t>***</w:t>
            </w:r>
          </w:p>
        </w:tc>
        <w:tc>
          <w:tcPr>
            <w:tcW w:w="3828"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产品产量×售价</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zh-CN" w:eastAsia="zh-CN" w:bidi="ar-SA"/>
              </w:rPr>
            </w:pPr>
            <w:r>
              <w:rPr>
                <w:rFonts w:hint="default" w:ascii="Times New Roman" w:hAnsi="Times New Roman" w:eastAsia="宋体" w:cs="Times New Roman"/>
                <w:b w:val="0"/>
                <w:bCs/>
                <w:kern w:val="0"/>
                <w:sz w:val="21"/>
                <w:szCs w:val="21"/>
                <w:lang w:val="zh-CN" w:eastAsia="zh-CN" w:bidi="ar-SA"/>
              </w:rPr>
              <w:t>2</w:t>
            </w:r>
          </w:p>
        </w:tc>
        <w:tc>
          <w:tcPr>
            <w:tcW w:w="1843"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zh-CN" w:eastAsia="zh-CN" w:bidi="ar-SA"/>
              </w:rPr>
            </w:pPr>
            <w:r>
              <w:rPr>
                <w:rFonts w:hint="default" w:ascii="Times New Roman" w:hAnsi="Times New Roman" w:eastAsia="宋体" w:cs="Times New Roman"/>
                <w:b w:val="0"/>
                <w:bCs/>
                <w:kern w:val="0"/>
                <w:sz w:val="21"/>
                <w:szCs w:val="21"/>
                <w:lang w:val="zh-CN" w:eastAsia="zh-CN" w:bidi="ar-SA"/>
              </w:rPr>
              <w:t>年成本费用</w:t>
            </w:r>
          </w:p>
        </w:tc>
        <w:tc>
          <w:tcPr>
            <w:tcW w:w="992"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zh-CN" w:eastAsia="zh-CN" w:bidi="ar-SA"/>
              </w:rPr>
              <w:t>万元</w:t>
            </w:r>
          </w:p>
        </w:tc>
        <w:tc>
          <w:tcPr>
            <w:tcW w:w="1134"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kern w:val="0"/>
                <w:sz w:val="21"/>
                <w:szCs w:val="21"/>
              </w:rPr>
            </w:pPr>
            <w:r>
              <w:rPr>
                <w:rFonts w:hint="eastAsia"/>
              </w:rPr>
              <w:t>***</w:t>
            </w:r>
          </w:p>
        </w:tc>
        <w:tc>
          <w:tcPr>
            <w:tcW w:w="3828"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矿石直接成本＋资源购置费</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zh-CN" w:eastAsia="zh-CN" w:bidi="ar-SA"/>
              </w:rPr>
            </w:pPr>
            <w:r>
              <w:rPr>
                <w:rFonts w:hint="default" w:ascii="Times New Roman" w:hAnsi="Times New Roman" w:eastAsia="宋体" w:cs="Times New Roman"/>
                <w:b w:val="0"/>
                <w:bCs/>
                <w:kern w:val="0"/>
                <w:sz w:val="21"/>
                <w:szCs w:val="21"/>
                <w:lang w:val="zh-CN" w:eastAsia="zh-CN" w:bidi="ar-SA"/>
              </w:rPr>
              <w:t>3</w:t>
            </w:r>
          </w:p>
        </w:tc>
        <w:tc>
          <w:tcPr>
            <w:tcW w:w="1843"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zh-CN" w:eastAsia="zh-CN" w:bidi="ar-SA"/>
              </w:rPr>
            </w:pPr>
            <w:r>
              <w:rPr>
                <w:rFonts w:hint="default" w:ascii="Times New Roman" w:hAnsi="Times New Roman" w:eastAsia="宋体" w:cs="Times New Roman"/>
                <w:b w:val="0"/>
                <w:bCs/>
                <w:kern w:val="0"/>
                <w:sz w:val="21"/>
                <w:szCs w:val="21"/>
                <w:lang w:val="zh-CN" w:eastAsia="zh-CN" w:bidi="ar-SA"/>
              </w:rPr>
              <w:t>税金及附加</w:t>
            </w:r>
          </w:p>
        </w:tc>
        <w:tc>
          <w:tcPr>
            <w:tcW w:w="992"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zh-CN" w:eastAsia="zh-CN" w:bidi="ar-SA"/>
              </w:rPr>
            </w:pPr>
            <w:r>
              <w:rPr>
                <w:rFonts w:hint="default" w:ascii="Times New Roman" w:hAnsi="Times New Roman" w:eastAsia="宋体" w:cs="Times New Roman"/>
                <w:b w:val="0"/>
                <w:bCs/>
                <w:kern w:val="0"/>
                <w:sz w:val="21"/>
                <w:szCs w:val="21"/>
                <w:lang w:val="zh-CN" w:eastAsia="zh-CN" w:bidi="ar-SA"/>
              </w:rPr>
              <w:t>万元</w:t>
            </w:r>
          </w:p>
        </w:tc>
        <w:tc>
          <w:tcPr>
            <w:tcW w:w="1134"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kern w:val="0"/>
                <w:sz w:val="21"/>
                <w:szCs w:val="21"/>
              </w:rPr>
            </w:pPr>
            <w:r>
              <w:rPr>
                <w:rFonts w:hint="eastAsia"/>
              </w:rPr>
              <w:t>***</w:t>
            </w:r>
          </w:p>
        </w:tc>
        <w:tc>
          <w:tcPr>
            <w:tcW w:w="3828"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（3.1＋3.2＋3.3＋3.4）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3.1</w:t>
            </w:r>
          </w:p>
        </w:tc>
        <w:tc>
          <w:tcPr>
            <w:tcW w:w="1843" w:type="dxa"/>
            <w:tcBorders>
              <w:tl2br w:val="nil"/>
              <w:tr2bl w:val="nil"/>
            </w:tcBorders>
            <w:vAlign w:val="center"/>
          </w:tcPr>
          <w:p>
            <w:pPr>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年增值税</w:t>
            </w:r>
          </w:p>
        </w:tc>
        <w:tc>
          <w:tcPr>
            <w:tcW w:w="992" w:type="dxa"/>
            <w:tcBorders>
              <w:tl2br w:val="nil"/>
              <w:tr2bl w:val="nil"/>
            </w:tcBorders>
            <w:vAlign w:val="center"/>
          </w:tcPr>
          <w:p>
            <w:pPr>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zh-CN" w:eastAsia="zh-CN" w:bidi="ar-SA"/>
              </w:rPr>
              <w:t>万元</w:t>
            </w:r>
          </w:p>
        </w:tc>
        <w:tc>
          <w:tcPr>
            <w:tcW w:w="1134"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sz w:val="21"/>
                <w:szCs w:val="21"/>
              </w:rPr>
            </w:pPr>
            <w:r>
              <w:rPr>
                <w:rFonts w:hint="eastAsia"/>
              </w:rPr>
              <w:t>***</w:t>
            </w:r>
          </w:p>
        </w:tc>
        <w:tc>
          <w:tcPr>
            <w:tcW w:w="3828" w:type="dxa"/>
            <w:tcBorders>
              <w:tl2br w:val="nil"/>
              <w:tr2bl w:val="nil"/>
            </w:tcBorders>
            <w:vAlign w:val="center"/>
          </w:tcPr>
          <w:p>
            <w:pPr>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3﹪的征收率。</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3.2</w:t>
            </w:r>
          </w:p>
        </w:tc>
        <w:tc>
          <w:tcPr>
            <w:tcW w:w="1843"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资源税</w:t>
            </w:r>
          </w:p>
        </w:tc>
        <w:tc>
          <w:tcPr>
            <w:tcW w:w="992"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zh-CN" w:eastAsia="zh-CN" w:bidi="ar-SA"/>
              </w:rPr>
              <w:t>万元</w:t>
            </w:r>
          </w:p>
        </w:tc>
        <w:tc>
          <w:tcPr>
            <w:tcW w:w="1134"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sz w:val="21"/>
                <w:szCs w:val="21"/>
              </w:rPr>
            </w:pPr>
            <w:r>
              <w:rPr>
                <w:rFonts w:hint="eastAsia"/>
              </w:rPr>
              <w:t>***</w:t>
            </w:r>
          </w:p>
        </w:tc>
        <w:tc>
          <w:tcPr>
            <w:tcW w:w="3828" w:type="dxa"/>
            <w:tcBorders>
              <w:tl2br w:val="nil"/>
              <w:tr2bl w:val="nil"/>
            </w:tcBorders>
            <w:vAlign w:val="center"/>
          </w:tcPr>
          <w:p>
            <w:pPr>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年销售收入×2﹪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3.3</w:t>
            </w:r>
          </w:p>
        </w:tc>
        <w:tc>
          <w:tcPr>
            <w:tcW w:w="1843"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年销售税金附加</w:t>
            </w:r>
          </w:p>
        </w:tc>
        <w:tc>
          <w:tcPr>
            <w:tcW w:w="992"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zh-CN" w:eastAsia="zh-CN" w:bidi="ar-SA"/>
              </w:rPr>
            </w:pPr>
            <w:r>
              <w:rPr>
                <w:rFonts w:hint="default" w:ascii="Times New Roman" w:hAnsi="Times New Roman" w:eastAsia="宋体" w:cs="Times New Roman"/>
                <w:b w:val="0"/>
                <w:bCs/>
                <w:kern w:val="0"/>
                <w:sz w:val="21"/>
                <w:szCs w:val="21"/>
                <w:lang w:val="zh-CN" w:eastAsia="zh-CN" w:bidi="ar-SA"/>
              </w:rPr>
              <w:t>万元</w:t>
            </w:r>
          </w:p>
        </w:tc>
        <w:tc>
          <w:tcPr>
            <w:tcW w:w="1134"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sz w:val="21"/>
                <w:szCs w:val="21"/>
              </w:rPr>
            </w:pPr>
            <w:r>
              <w:rPr>
                <w:rFonts w:hint="eastAsia"/>
              </w:rPr>
              <w:t>***</w:t>
            </w:r>
          </w:p>
        </w:tc>
        <w:tc>
          <w:tcPr>
            <w:tcW w:w="3828" w:type="dxa"/>
            <w:tcBorders>
              <w:tl2br w:val="nil"/>
              <w:tr2bl w:val="nil"/>
            </w:tcBorders>
            <w:vAlign w:val="center"/>
          </w:tcPr>
          <w:p>
            <w:pPr>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年增值税×8﹪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3.4</w:t>
            </w:r>
          </w:p>
        </w:tc>
        <w:tc>
          <w:tcPr>
            <w:tcW w:w="1843"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环境保护税</w:t>
            </w:r>
          </w:p>
        </w:tc>
        <w:tc>
          <w:tcPr>
            <w:tcW w:w="992"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zh-CN" w:eastAsia="zh-CN" w:bidi="ar-SA"/>
              </w:rPr>
            </w:pPr>
            <w:r>
              <w:rPr>
                <w:rFonts w:hint="default" w:ascii="Times New Roman" w:hAnsi="Times New Roman" w:eastAsia="宋体" w:cs="Times New Roman"/>
                <w:b w:val="0"/>
                <w:bCs/>
                <w:kern w:val="0"/>
                <w:sz w:val="21"/>
                <w:szCs w:val="21"/>
                <w:lang w:val="zh-CN" w:eastAsia="zh-CN" w:bidi="ar-SA"/>
              </w:rPr>
              <w:t>万元</w:t>
            </w:r>
          </w:p>
        </w:tc>
        <w:tc>
          <w:tcPr>
            <w:tcW w:w="1134"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sz w:val="21"/>
                <w:szCs w:val="21"/>
              </w:rPr>
            </w:pPr>
            <w:r>
              <w:rPr>
                <w:rFonts w:hint="eastAsia"/>
              </w:rPr>
              <w:t>***</w:t>
            </w:r>
          </w:p>
        </w:tc>
        <w:tc>
          <w:tcPr>
            <w:tcW w:w="3828" w:type="dxa"/>
            <w:tcBorders>
              <w:tl2br w:val="nil"/>
              <w:tr2bl w:val="nil"/>
            </w:tcBorders>
            <w:vAlign w:val="center"/>
          </w:tcPr>
          <w:p>
            <w:pPr>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外排固体废弃物15元/t。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zh-CN" w:eastAsia="zh-CN" w:bidi="ar-SA"/>
              </w:rPr>
            </w:pPr>
            <w:r>
              <w:rPr>
                <w:rFonts w:hint="default" w:ascii="Times New Roman" w:hAnsi="Times New Roman" w:eastAsia="宋体" w:cs="Times New Roman"/>
                <w:b w:val="0"/>
                <w:bCs/>
                <w:kern w:val="0"/>
                <w:sz w:val="21"/>
                <w:szCs w:val="21"/>
                <w:lang w:val="zh-CN" w:eastAsia="zh-CN" w:bidi="ar-SA"/>
              </w:rPr>
              <w:t>4</w:t>
            </w:r>
          </w:p>
        </w:tc>
        <w:tc>
          <w:tcPr>
            <w:tcW w:w="1843"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zh-CN" w:eastAsia="zh-CN" w:bidi="ar-SA"/>
              </w:rPr>
            </w:pPr>
            <w:r>
              <w:rPr>
                <w:rFonts w:hint="default" w:ascii="Times New Roman" w:hAnsi="Times New Roman" w:eastAsia="宋体" w:cs="Times New Roman"/>
                <w:b w:val="0"/>
                <w:bCs/>
                <w:kern w:val="0"/>
                <w:sz w:val="21"/>
                <w:szCs w:val="21"/>
                <w:lang w:val="zh-CN" w:eastAsia="zh-CN" w:bidi="ar-SA"/>
              </w:rPr>
              <w:t>其它</w:t>
            </w:r>
          </w:p>
        </w:tc>
        <w:tc>
          <w:tcPr>
            <w:tcW w:w="992"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zh-CN" w:eastAsia="zh-CN" w:bidi="ar-SA"/>
              </w:rPr>
            </w:pPr>
            <w:r>
              <w:rPr>
                <w:rFonts w:hint="default" w:ascii="Times New Roman" w:hAnsi="Times New Roman" w:eastAsia="宋体" w:cs="Times New Roman"/>
                <w:b w:val="0"/>
                <w:bCs/>
                <w:kern w:val="0"/>
                <w:sz w:val="21"/>
                <w:szCs w:val="21"/>
                <w:lang w:val="zh-CN" w:eastAsia="zh-CN" w:bidi="ar-SA"/>
              </w:rPr>
              <w:t>万元</w:t>
            </w:r>
          </w:p>
        </w:tc>
        <w:tc>
          <w:tcPr>
            <w:tcW w:w="1134"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sz w:val="21"/>
                <w:szCs w:val="21"/>
              </w:rPr>
            </w:pPr>
            <w:r>
              <w:rPr>
                <w:rFonts w:hint="eastAsia"/>
              </w:rPr>
              <w:t>***</w:t>
            </w:r>
          </w:p>
        </w:tc>
        <w:tc>
          <w:tcPr>
            <w:tcW w:w="3828"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（4.1＋4.2＋4.3＋4.4）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4.1</w:t>
            </w:r>
          </w:p>
        </w:tc>
        <w:tc>
          <w:tcPr>
            <w:tcW w:w="1843"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采矿权使用费</w:t>
            </w:r>
          </w:p>
        </w:tc>
        <w:tc>
          <w:tcPr>
            <w:tcW w:w="992"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zh-CN" w:eastAsia="zh-CN" w:bidi="ar-SA"/>
              </w:rPr>
              <w:t>万元</w:t>
            </w:r>
          </w:p>
        </w:tc>
        <w:tc>
          <w:tcPr>
            <w:tcW w:w="1134"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sz w:val="21"/>
                <w:szCs w:val="21"/>
              </w:rPr>
            </w:pPr>
            <w:r>
              <w:rPr>
                <w:rFonts w:hint="eastAsia"/>
              </w:rPr>
              <w:t>***</w:t>
            </w:r>
          </w:p>
        </w:tc>
        <w:tc>
          <w:tcPr>
            <w:tcW w:w="3828"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0.20万元/年.</w:t>
            </w:r>
            <w:r>
              <w:rPr>
                <w:rFonts w:hint="eastAsia" w:ascii="Times New Roman" w:hAnsi="Times New Roman" w:eastAsia="宋体" w:cs="Times New Roman"/>
                <w:b w:val="0"/>
                <w:bCs/>
                <w:kern w:val="0"/>
                <w:sz w:val="21"/>
                <w:szCs w:val="21"/>
                <w:lang w:val="en-US" w:eastAsia="zh-CN" w:bidi="ar-SA"/>
              </w:rPr>
              <w:t>km²</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4.2</w:t>
            </w:r>
          </w:p>
        </w:tc>
        <w:tc>
          <w:tcPr>
            <w:tcW w:w="1843"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矿山维简费</w:t>
            </w:r>
          </w:p>
        </w:tc>
        <w:tc>
          <w:tcPr>
            <w:tcW w:w="992"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zh-CN" w:eastAsia="zh-CN" w:bidi="ar-SA"/>
              </w:rPr>
              <w:t>万元</w:t>
            </w:r>
          </w:p>
        </w:tc>
        <w:tc>
          <w:tcPr>
            <w:tcW w:w="1134"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sz w:val="21"/>
                <w:szCs w:val="21"/>
              </w:rPr>
            </w:pPr>
            <w:r>
              <w:rPr>
                <w:rFonts w:hint="eastAsia"/>
              </w:rPr>
              <w:t>***</w:t>
            </w:r>
          </w:p>
        </w:tc>
        <w:tc>
          <w:tcPr>
            <w:tcW w:w="3828"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出矿量×1元/t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4.3</w:t>
            </w:r>
          </w:p>
        </w:tc>
        <w:tc>
          <w:tcPr>
            <w:tcW w:w="1843"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矿山安全费用</w:t>
            </w:r>
          </w:p>
        </w:tc>
        <w:tc>
          <w:tcPr>
            <w:tcW w:w="992"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zh-CN" w:eastAsia="zh-CN" w:bidi="ar-SA"/>
              </w:rPr>
              <w:t>万元</w:t>
            </w:r>
          </w:p>
        </w:tc>
        <w:tc>
          <w:tcPr>
            <w:tcW w:w="1134"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sz w:val="21"/>
                <w:szCs w:val="21"/>
              </w:rPr>
            </w:pPr>
            <w:r>
              <w:rPr>
                <w:rFonts w:hint="eastAsia"/>
              </w:rPr>
              <w:t>***</w:t>
            </w:r>
          </w:p>
        </w:tc>
        <w:tc>
          <w:tcPr>
            <w:tcW w:w="3828"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出矿量×2元/t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4.4</w:t>
            </w:r>
          </w:p>
        </w:tc>
        <w:tc>
          <w:tcPr>
            <w:tcW w:w="1843"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生态保护修复费用</w:t>
            </w:r>
          </w:p>
        </w:tc>
        <w:tc>
          <w:tcPr>
            <w:tcW w:w="992"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zh-CN" w:eastAsia="zh-CN" w:bidi="ar-SA"/>
              </w:rPr>
              <w:t>万元</w:t>
            </w:r>
          </w:p>
        </w:tc>
        <w:tc>
          <w:tcPr>
            <w:tcW w:w="1134"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sz w:val="21"/>
                <w:szCs w:val="21"/>
              </w:rPr>
            </w:pPr>
            <w:r>
              <w:rPr>
                <w:rFonts w:hint="eastAsia"/>
              </w:rPr>
              <w:t>***</w:t>
            </w:r>
          </w:p>
        </w:tc>
        <w:tc>
          <w:tcPr>
            <w:tcW w:w="3828"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出矿量×1.5元/t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kern w:val="0"/>
                <w:sz w:val="21"/>
                <w:szCs w:val="21"/>
                <w:lang w:val="zh-CN"/>
              </w:rPr>
            </w:pPr>
            <w:r>
              <w:rPr>
                <w:rFonts w:hint="default" w:ascii="Times New Roman" w:hAnsi="Times New Roman" w:eastAsia="宋体" w:cs="Times New Roman"/>
                <w:b w:val="0"/>
                <w:bCs/>
                <w:kern w:val="0"/>
                <w:sz w:val="21"/>
                <w:szCs w:val="21"/>
              </w:rPr>
              <w:t>5</w:t>
            </w:r>
          </w:p>
        </w:tc>
        <w:tc>
          <w:tcPr>
            <w:tcW w:w="1843"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zh-CN" w:eastAsia="zh-CN" w:bidi="ar-SA"/>
              </w:rPr>
            </w:pPr>
            <w:r>
              <w:rPr>
                <w:rFonts w:hint="default" w:ascii="Times New Roman" w:hAnsi="Times New Roman" w:eastAsia="宋体" w:cs="Times New Roman"/>
                <w:b w:val="0"/>
                <w:bCs/>
                <w:kern w:val="0"/>
                <w:sz w:val="21"/>
                <w:szCs w:val="21"/>
                <w:lang w:val="zh-CN" w:eastAsia="zh-CN" w:bidi="ar-SA"/>
              </w:rPr>
              <w:t>税前利润</w:t>
            </w:r>
          </w:p>
        </w:tc>
        <w:tc>
          <w:tcPr>
            <w:tcW w:w="992"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zh-CN" w:eastAsia="zh-CN" w:bidi="ar-SA"/>
              </w:rPr>
              <w:t>万元</w:t>
            </w:r>
          </w:p>
        </w:tc>
        <w:tc>
          <w:tcPr>
            <w:tcW w:w="1134"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kern w:val="0"/>
                <w:sz w:val="21"/>
                <w:szCs w:val="21"/>
              </w:rPr>
            </w:pPr>
            <w:r>
              <w:rPr>
                <w:rFonts w:hint="eastAsia"/>
              </w:rPr>
              <w:t>***</w:t>
            </w:r>
          </w:p>
        </w:tc>
        <w:tc>
          <w:tcPr>
            <w:tcW w:w="3828"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（1）－（2）－（3）－（4）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kern w:val="0"/>
                <w:sz w:val="21"/>
                <w:szCs w:val="21"/>
                <w:lang w:val="zh-CN"/>
              </w:rPr>
            </w:pPr>
            <w:r>
              <w:rPr>
                <w:rFonts w:hint="default" w:ascii="Times New Roman" w:hAnsi="Times New Roman" w:eastAsia="宋体" w:cs="Times New Roman"/>
                <w:b w:val="0"/>
                <w:bCs/>
                <w:kern w:val="0"/>
                <w:sz w:val="21"/>
                <w:szCs w:val="21"/>
              </w:rPr>
              <w:t>6</w:t>
            </w:r>
          </w:p>
        </w:tc>
        <w:tc>
          <w:tcPr>
            <w:tcW w:w="1843"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zh-CN" w:eastAsia="zh-CN" w:bidi="ar-SA"/>
              </w:rPr>
            </w:pPr>
            <w:r>
              <w:rPr>
                <w:rFonts w:hint="default" w:ascii="Times New Roman" w:hAnsi="Times New Roman" w:eastAsia="宋体" w:cs="Times New Roman"/>
                <w:b w:val="0"/>
                <w:bCs/>
                <w:kern w:val="0"/>
                <w:sz w:val="21"/>
                <w:szCs w:val="21"/>
                <w:lang w:val="zh-CN" w:eastAsia="zh-CN" w:bidi="ar-SA"/>
              </w:rPr>
              <w:t>所得税</w:t>
            </w:r>
          </w:p>
        </w:tc>
        <w:tc>
          <w:tcPr>
            <w:tcW w:w="992"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zh-CN" w:eastAsia="zh-CN" w:bidi="ar-SA"/>
              </w:rPr>
              <w:t>万元</w:t>
            </w:r>
          </w:p>
        </w:tc>
        <w:tc>
          <w:tcPr>
            <w:tcW w:w="1134"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kern w:val="0"/>
                <w:sz w:val="21"/>
                <w:szCs w:val="21"/>
              </w:rPr>
            </w:pPr>
            <w:r>
              <w:rPr>
                <w:rFonts w:hint="eastAsia"/>
              </w:rPr>
              <w:t>***</w:t>
            </w:r>
          </w:p>
        </w:tc>
        <w:tc>
          <w:tcPr>
            <w:tcW w:w="3828"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税前利润×25﹪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kern w:val="0"/>
                <w:sz w:val="21"/>
                <w:szCs w:val="21"/>
                <w:lang w:val="zh-CN"/>
              </w:rPr>
            </w:pPr>
            <w:r>
              <w:rPr>
                <w:rFonts w:hint="default" w:ascii="Times New Roman" w:hAnsi="Times New Roman" w:eastAsia="宋体" w:cs="Times New Roman"/>
                <w:b w:val="0"/>
                <w:bCs/>
                <w:kern w:val="0"/>
                <w:sz w:val="21"/>
                <w:szCs w:val="21"/>
              </w:rPr>
              <w:t>7</w:t>
            </w:r>
          </w:p>
        </w:tc>
        <w:tc>
          <w:tcPr>
            <w:tcW w:w="1843"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zh-CN" w:eastAsia="zh-CN" w:bidi="ar-SA"/>
              </w:rPr>
            </w:pPr>
            <w:r>
              <w:rPr>
                <w:rFonts w:hint="default" w:ascii="Times New Roman" w:hAnsi="Times New Roman" w:eastAsia="宋体" w:cs="Times New Roman"/>
                <w:b w:val="0"/>
                <w:bCs/>
                <w:kern w:val="0"/>
                <w:sz w:val="21"/>
                <w:szCs w:val="21"/>
                <w:lang w:val="zh-CN" w:eastAsia="zh-CN" w:bidi="ar-SA"/>
              </w:rPr>
              <w:t>税后利润</w:t>
            </w:r>
          </w:p>
        </w:tc>
        <w:tc>
          <w:tcPr>
            <w:tcW w:w="992"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zh-CN" w:eastAsia="zh-CN" w:bidi="ar-SA"/>
              </w:rPr>
              <w:t>万元</w:t>
            </w:r>
          </w:p>
        </w:tc>
        <w:tc>
          <w:tcPr>
            <w:tcW w:w="1134"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kern w:val="0"/>
                <w:sz w:val="21"/>
                <w:szCs w:val="21"/>
              </w:rPr>
            </w:pPr>
            <w:r>
              <w:rPr>
                <w:rFonts w:hint="eastAsia"/>
              </w:rPr>
              <w:t>***</w:t>
            </w:r>
          </w:p>
        </w:tc>
        <w:tc>
          <w:tcPr>
            <w:tcW w:w="3828" w:type="dxa"/>
            <w:tcBorders>
              <w:tl2br w:val="nil"/>
              <w:tr2bl w:val="nil"/>
            </w:tcBorders>
            <w:vAlign w:val="center"/>
          </w:tcPr>
          <w:p>
            <w:pPr>
              <w:tabs>
                <w:tab w:val="left" w:pos="5040"/>
              </w:tabs>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税前利润－所得税</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8</w:t>
            </w:r>
          </w:p>
        </w:tc>
        <w:tc>
          <w:tcPr>
            <w:tcW w:w="1843" w:type="dxa"/>
            <w:tcBorders>
              <w:tl2br w:val="nil"/>
              <w:tr2bl w:val="nil"/>
            </w:tcBorders>
            <w:vAlign w:val="center"/>
          </w:tcPr>
          <w:p>
            <w:pPr>
              <w:adjustRightInd w:val="0"/>
              <w:snapToGrid w:val="0"/>
              <w:spacing w:line="240" w:lineRule="atLeast"/>
              <w:jc w:val="center"/>
              <w:rPr>
                <w:rFonts w:hint="default" w:ascii="Times New Roman" w:hAnsi="Times New Roman" w:eastAsia="宋体" w:cs="Times New Roman"/>
                <w:b w:val="0"/>
                <w:bCs/>
                <w:kern w:val="0"/>
                <w:sz w:val="21"/>
                <w:szCs w:val="21"/>
                <w:lang w:val="zh-CN" w:eastAsia="zh-CN" w:bidi="ar-SA"/>
              </w:rPr>
            </w:pPr>
            <w:r>
              <w:rPr>
                <w:rFonts w:hint="default" w:ascii="Times New Roman" w:hAnsi="Times New Roman" w:eastAsia="宋体" w:cs="Times New Roman"/>
                <w:b w:val="0"/>
                <w:bCs/>
                <w:kern w:val="0"/>
                <w:sz w:val="21"/>
                <w:szCs w:val="21"/>
                <w:lang w:val="en-US" w:eastAsia="zh-CN" w:bidi="ar-SA"/>
              </w:rPr>
              <w:t>投资偿还期</w:t>
            </w:r>
          </w:p>
        </w:tc>
        <w:tc>
          <w:tcPr>
            <w:tcW w:w="992" w:type="dxa"/>
            <w:tcBorders>
              <w:tl2br w:val="nil"/>
              <w:tr2bl w:val="nil"/>
            </w:tcBorders>
            <w:vAlign w:val="center"/>
          </w:tcPr>
          <w:p>
            <w:pPr>
              <w:adjustRightInd w:val="0"/>
              <w:snapToGrid w:val="0"/>
              <w:spacing w:line="240" w:lineRule="atLeast"/>
              <w:jc w:val="center"/>
              <w:rPr>
                <w:rFonts w:hint="default" w:ascii="Times New Roman" w:hAnsi="Times New Roman" w:eastAsia="宋体" w:cs="Times New Roman"/>
                <w:b w:val="0"/>
                <w:bCs/>
                <w:kern w:val="0"/>
                <w:sz w:val="21"/>
                <w:szCs w:val="21"/>
                <w:lang w:val="zh-CN" w:eastAsia="zh-CN" w:bidi="ar-SA"/>
              </w:rPr>
            </w:pPr>
            <w:r>
              <w:rPr>
                <w:rFonts w:hint="default" w:ascii="Times New Roman" w:hAnsi="Times New Roman" w:eastAsia="宋体" w:cs="Times New Roman"/>
                <w:b w:val="0"/>
                <w:bCs/>
                <w:kern w:val="0"/>
                <w:sz w:val="21"/>
                <w:szCs w:val="21"/>
                <w:lang w:val="en-US" w:eastAsia="zh-CN" w:bidi="ar-SA"/>
              </w:rPr>
              <w:t>a</w:t>
            </w:r>
          </w:p>
        </w:tc>
        <w:tc>
          <w:tcPr>
            <w:tcW w:w="1134"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sz w:val="21"/>
                <w:szCs w:val="21"/>
              </w:rPr>
            </w:pPr>
            <w:r>
              <w:rPr>
                <w:rFonts w:hint="eastAsia"/>
              </w:rPr>
              <w:t>***</w:t>
            </w:r>
          </w:p>
        </w:tc>
        <w:tc>
          <w:tcPr>
            <w:tcW w:w="3828" w:type="dxa"/>
            <w:tcBorders>
              <w:tl2br w:val="nil"/>
              <w:tr2bl w:val="nil"/>
            </w:tcBorders>
            <w:vAlign w:val="center"/>
          </w:tcPr>
          <w:p>
            <w:pPr>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项目总投资÷年净利润</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9</w:t>
            </w:r>
          </w:p>
        </w:tc>
        <w:tc>
          <w:tcPr>
            <w:tcW w:w="1843" w:type="dxa"/>
            <w:tcBorders>
              <w:tl2br w:val="nil"/>
              <w:tr2bl w:val="nil"/>
            </w:tcBorders>
            <w:vAlign w:val="center"/>
          </w:tcPr>
          <w:p>
            <w:pPr>
              <w:adjustRightInd w:val="0"/>
              <w:snapToGrid w:val="0"/>
              <w:spacing w:line="240" w:lineRule="atLeast"/>
              <w:jc w:val="center"/>
              <w:rPr>
                <w:rFonts w:hint="default" w:ascii="Times New Roman" w:hAnsi="Times New Roman" w:eastAsia="宋体" w:cs="Times New Roman"/>
                <w:b w:val="0"/>
                <w:bCs/>
                <w:kern w:val="0"/>
                <w:sz w:val="21"/>
                <w:szCs w:val="21"/>
                <w:lang w:val="zh-CN" w:eastAsia="zh-CN" w:bidi="ar-SA"/>
              </w:rPr>
            </w:pPr>
            <w:r>
              <w:rPr>
                <w:rFonts w:hint="default" w:ascii="Times New Roman" w:hAnsi="Times New Roman" w:eastAsia="宋体" w:cs="Times New Roman"/>
                <w:b w:val="0"/>
                <w:bCs/>
                <w:kern w:val="0"/>
                <w:sz w:val="21"/>
                <w:szCs w:val="21"/>
                <w:lang w:val="en-US" w:eastAsia="zh-CN" w:bidi="ar-SA"/>
              </w:rPr>
              <w:t>投资利润率</w:t>
            </w:r>
          </w:p>
        </w:tc>
        <w:tc>
          <w:tcPr>
            <w:tcW w:w="992" w:type="dxa"/>
            <w:tcBorders>
              <w:tl2br w:val="nil"/>
              <w:tr2bl w:val="nil"/>
            </w:tcBorders>
            <w:vAlign w:val="center"/>
          </w:tcPr>
          <w:p>
            <w:pPr>
              <w:adjustRightInd w:val="0"/>
              <w:snapToGrid w:val="0"/>
              <w:spacing w:line="240" w:lineRule="atLeast"/>
              <w:jc w:val="center"/>
              <w:rPr>
                <w:rFonts w:hint="default" w:ascii="Times New Roman" w:hAnsi="Times New Roman" w:eastAsia="宋体" w:cs="Times New Roman"/>
                <w:b w:val="0"/>
                <w:bCs/>
                <w:kern w:val="0"/>
                <w:sz w:val="21"/>
                <w:szCs w:val="21"/>
                <w:lang w:val="zh-CN" w:eastAsia="zh-CN" w:bidi="ar-SA"/>
              </w:rPr>
            </w:pPr>
            <w:r>
              <w:rPr>
                <w:rFonts w:hint="default" w:ascii="Times New Roman" w:hAnsi="Times New Roman" w:eastAsia="宋体" w:cs="Times New Roman"/>
                <w:b w:val="0"/>
                <w:bCs/>
                <w:kern w:val="0"/>
                <w:sz w:val="21"/>
                <w:szCs w:val="21"/>
                <w:lang w:val="en-US" w:eastAsia="zh-CN" w:bidi="ar-SA"/>
              </w:rPr>
              <w:t>%</w:t>
            </w:r>
          </w:p>
        </w:tc>
        <w:tc>
          <w:tcPr>
            <w:tcW w:w="1134"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sz w:val="21"/>
                <w:szCs w:val="21"/>
              </w:rPr>
            </w:pPr>
            <w:r>
              <w:rPr>
                <w:rFonts w:hint="eastAsia"/>
              </w:rPr>
              <w:t>***</w:t>
            </w:r>
          </w:p>
        </w:tc>
        <w:tc>
          <w:tcPr>
            <w:tcW w:w="3828" w:type="dxa"/>
            <w:tcBorders>
              <w:tl2br w:val="nil"/>
              <w:tr2bl w:val="nil"/>
            </w:tcBorders>
            <w:vAlign w:val="center"/>
          </w:tcPr>
          <w:p>
            <w:pPr>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年净利润÷项目总投资</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kern w:val="0"/>
                <w:sz w:val="21"/>
                <w:szCs w:val="21"/>
              </w:rPr>
            </w:pPr>
            <w:r>
              <w:rPr>
                <w:rFonts w:hint="default" w:ascii="Times New Roman" w:hAnsi="Times New Roman" w:eastAsia="宋体" w:cs="Times New Roman"/>
                <w:b w:val="0"/>
                <w:bCs/>
                <w:kern w:val="0"/>
                <w:sz w:val="21"/>
                <w:szCs w:val="21"/>
              </w:rPr>
              <w:t>10</w:t>
            </w:r>
          </w:p>
        </w:tc>
        <w:tc>
          <w:tcPr>
            <w:tcW w:w="1843" w:type="dxa"/>
            <w:tcBorders>
              <w:tl2br w:val="nil"/>
              <w:tr2bl w:val="nil"/>
            </w:tcBorders>
            <w:vAlign w:val="center"/>
          </w:tcPr>
          <w:p>
            <w:pPr>
              <w:adjustRightInd w:val="0"/>
              <w:snapToGrid w:val="0"/>
              <w:spacing w:line="240" w:lineRule="atLeast"/>
              <w:jc w:val="center"/>
              <w:rPr>
                <w:rFonts w:hint="default" w:ascii="Times New Roman" w:hAnsi="Times New Roman" w:eastAsia="宋体" w:cs="Times New Roman"/>
                <w:b w:val="0"/>
                <w:bCs/>
                <w:kern w:val="0"/>
                <w:sz w:val="21"/>
                <w:szCs w:val="21"/>
                <w:lang w:val="zh-CN" w:eastAsia="zh-CN" w:bidi="ar-SA"/>
              </w:rPr>
            </w:pPr>
            <w:r>
              <w:rPr>
                <w:rFonts w:hint="default" w:ascii="Times New Roman" w:hAnsi="Times New Roman" w:eastAsia="宋体" w:cs="Times New Roman"/>
                <w:b w:val="0"/>
                <w:bCs/>
                <w:kern w:val="0"/>
                <w:sz w:val="21"/>
                <w:szCs w:val="21"/>
                <w:lang w:val="en-US" w:eastAsia="zh-CN" w:bidi="ar-SA"/>
              </w:rPr>
              <w:t>投资收益率</w:t>
            </w:r>
          </w:p>
        </w:tc>
        <w:tc>
          <w:tcPr>
            <w:tcW w:w="992" w:type="dxa"/>
            <w:tcBorders>
              <w:tl2br w:val="nil"/>
              <w:tr2bl w:val="nil"/>
            </w:tcBorders>
            <w:vAlign w:val="center"/>
          </w:tcPr>
          <w:p>
            <w:pPr>
              <w:adjustRightInd w:val="0"/>
              <w:snapToGrid w:val="0"/>
              <w:spacing w:line="240" w:lineRule="atLeast"/>
              <w:jc w:val="center"/>
              <w:rPr>
                <w:rFonts w:hint="default" w:ascii="Times New Roman" w:hAnsi="Times New Roman" w:eastAsia="宋体" w:cs="Times New Roman"/>
                <w:b w:val="0"/>
                <w:bCs/>
                <w:kern w:val="0"/>
                <w:sz w:val="21"/>
                <w:szCs w:val="21"/>
                <w:lang w:val="zh-CN" w:eastAsia="zh-CN" w:bidi="ar-SA"/>
              </w:rPr>
            </w:pPr>
            <w:r>
              <w:rPr>
                <w:rFonts w:hint="default" w:ascii="Times New Roman" w:hAnsi="Times New Roman" w:eastAsia="宋体" w:cs="Times New Roman"/>
                <w:b w:val="0"/>
                <w:bCs/>
                <w:kern w:val="0"/>
                <w:sz w:val="21"/>
                <w:szCs w:val="21"/>
                <w:lang w:val="en-US" w:eastAsia="zh-CN" w:bidi="ar-SA"/>
              </w:rPr>
              <w:t>%</w:t>
            </w:r>
          </w:p>
        </w:tc>
        <w:tc>
          <w:tcPr>
            <w:tcW w:w="1134" w:type="dxa"/>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val="0"/>
                <w:bCs/>
                <w:sz w:val="21"/>
                <w:szCs w:val="21"/>
              </w:rPr>
            </w:pPr>
            <w:r>
              <w:rPr>
                <w:rFonts w:hint="eastAsia"/>
              </w:rPr>
              <w:t>***</w:t>
            </w:r>
          </w:p>
        </w:tc>
        <w:tc>
          <w:tcPr>
            <w:tcW w:w="3828" w:type="dxa"/>
            <w:tcBorders>
              <w:tl2br w:val="nil"/>
              <w:tr2bl w:val="nil"/>
            </w:tcBorders>
            <w:vAlign w:val="center"/>
          </w:tcPr>
          <w:p>
            <w:pPr>
              <w:adjustRightInd w:val="0"/>
              <w:snapToGrid w:val="0"/>
              <w:spacing w:line="240" w:lineRule="atLeast"/>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kern w:val="0"/>
                <w:sz w:val="21"/>
                <w:szCs w:val="21"/>
                <w:lang w:val="en-US" w:eastAsia="zh-CN" w:bidi="ar-SA"/>
              </w:rPr>
              <w:t>（</w:t>
            </w:r>
            <w:r>
              <w:rPr>
                <w:rFonts w:hint="default" w:ascii="Times New Roman" w:hAnsi="Times New Roman" w:eastAsia="宋体" w:cs="Times New Roman"/>
                <w:b w:val="0"/>
                <w:bCs/>
                <w:kern w:val="0"/>
                <w:sz w:val="21"/>
                <w:szCs w:val="21"/>
                <w:lang w:val="zh-CN" w:eastAsia="zh-CN" w:bidi="ar-SA"/>
              </w:rPr>
              <w:t>年</w:t>
            </w:r>
            <w:r>
              <w:rPr>
                <w:rFonts w:hint="default" w:ascii="Times New Roman" w:hAnsi="Times New Roman" w:eastAsia="宋体" w:cs="Times New Roman"/>
                <w:b w:val="0"/>
                <w:bCs/>
                <w:kern w:val="0"/>
                <w:sz w:val="21"/>
                <w:szCs w:val="21"/>
                <w:lang w:val="en-US" w:eastAsia="zh-CN" w:bidi="ar-SA"/>
              </w:rPr>
              <w:t>销售收入－</w:t>
            </w:r>
            <w:r>
              <w:rPr>
                <w:rFonts w:hint="default" w:ascii="Times New Roman" w:hAnsi="Times New Roman" w:eastAsia="宋体" w:cs="Times New Roman"/>
                <w:b w:val="0"/>
                <w:bCs/>
                <w:kern w:val="0"/>
                <w:sz w:val="21"/>
                <w:szCs w:val="21"/>
                <w:lang w:val="zh-CN" w:eastAsia="zh-CN" w:bidi="ar-SA"/>
              </w:rPr>
              <w:t>年成本费用</w:t>
            </w:r>
            <w:r>
              <w:rPr>
                <w:rFonts w:hint="default" w:ascii="Times New Roman" w:hAnsi="Times New Roman" w:eastAsia="宋体" w:cs="Times New Roman"/>
                <w:b w:val="0"/>
                <w:bCs/>
                <w:kern w:val="0"/>
                <w:sz w:val="21"/>
                <w:szCs w:val="21"/>
                <w:lang w:val="en-US" w:eastAsia="zh-CN" w:bidi="ar-SA"/>
              </w:rPr>
              <w:t>）÷项目总投资</w:t>
            </w:r>
          </w:p>
        </w:tc>
      </w:tr>
    </w:tbl>
    <w:p>
      <w:pPr>
        <w:pStyle w:val="3"/>
        <w:rPr>
          <w:rFonts w:hint="default" w:ascii="Times New Roman" w:hAnsi="Times New Roman" w:eastAsia="宋体" w:cs="Times New Roman"/>
        </w:rPr>
      </w:pPr>
      <w:bookmarkStart w:id="33" w:name="_Toc155772685"/>
      <w:r>
        <w:rPr>
          <w:rFonts w:hint="default" w:ascii="Times New Roman" w:hAnsi="Times New Roman" w:eastAsia="宋体" w:cs="Times New Roman"/>
        </w:rPr>
        <w:t>二、技术可行性分析</w:t>
      </w:r>
      <w:bookmarkEnd w:id="33"/>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本生态保护修复方案设计的生态修复工程主要为排水沟、沉淀池、监测工程和闭坑后的场地复垦工程等，矿山建设、生产期间和闭坑后设置的生态修复工程工艺简单，难度小，修复后的场地与矿区周围环境景观协调，各场区生态保护修复较适宜。</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按上述工程实施后，矿区环境会得到及时治理和恢复。矿区生态修复技术上可行。</w:t>
      </w:r>
    </w:p>
    <w:p>
      <w:pPr>
        <w:pStyle w:val="3"/>
        <w:rPr>
          <w:rFonts w:hint="default" w:ascii="Times New Roman" w:hAnsi="Times New Roman" w:eastAsia="宋体" w:cs="Times New Roman"/>
        </w:rPr>
      </w:pPr>
      <w:bookmarkStart w:id="34" w:name="_Toc155772686"/>
      <w:r>
        <w:rPr>
          <w:rFonts w:hint="default" w:ascii="Times New Roman" w:hAnsi="Times New Roman" w:eastAsia="宋体" w:cs="Times New Roman"/>
        </w:rPr>
        <w:t>三、生态环境可行性分析</w:t>
      </w:r>
      <w:bookmarkEnd w:id="34"/>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预期矿山按照本方案实施生态保护修复后的各场地安全稳定，对人类和动植物无威胁；对周边环境不产生污染；与周边自然环境和景观相协调；恢复了土地基本功能，因地制宜地实现土地可持续利用。通过矿山生态修复形成了绿色经济产业链，持续带动地方经济发展，还给群众另一座绿水青山、金山银山。</w:t>
      </w:r>
    </w:p>
    <w:p>
      <w:pPr>
        <w:widowControl/>
        <w:jc w:val="left"/>
        <w:rPr>
          <w:rFonts w:hint="default" w:ascii="Times New Roman" w:hAnsi="Times New Roman" w:eastAsia="宋体" w:cs="Times New Roman"/>
        </w:rPr>
      </w:pPr>
      <w:r>
        <w:rPr>
          <w:rFonts w:hint="default" w:ascii="Times New Roman" w:hAnsi="Times New Roman" w:eastAsia="宋体" w:cs="Times New Roman"/>
        </w:rPr>
        <w:br w:type="page"/>
      </w:r>
    </w:p>
    <w:p>
      <w:pPr>
        <w:pStyle w:val="2"/>
        <w:numPr>
          <w:ilvl w:val="0"/>
          <w:numId w:val="1"/>
        </w:numPr>
        <w:jc w:val="center"/>
        <w:rPr>
          <w:rFonts w:hint="default" w:ascii="Times New Roman" w:hAnsi="Times New Roman" w:eastAsia="黑体" w:cs="Times New Roman"/>
        </w:rPr>
      </w:pPr>
      <w:bookmarkStart w:id="35" w:name="_Toc155772687"/>
      <w:r>
        <w:rPr>
          <w:rFonts w:hint="default" w:ascii="Times New Roman" w:hAnsi="Times New Roman" w:eastAsia="黑体" w:cs="Times New Roman"/>
        </w:rPr>
        <w:t>结论与建议</w:t>
      </w:r>
      <w:bookmarkEnd w:id="35"/>
    </w:p>
    <w:p>
      <w:pPr>
        <w:pStyle w:val="3"/>
        <w:rPr>
          <w:rFonts w:hint="default" w:ascii="Times New Roman" w:hAnsi="Times New Roman" w:eastAsia="宋体" w:cs="Times New Roman"/>
        </w:rPr>
      </w:pPr>
      <w:bookmarkStart w:id="36" w:name="_Toc155772688"/>
      <w:r>
        <w:rPr>
          <w:rFonts w:hint="default" w:ascii="Times New Roman" w:hAnsi="Times New Roman" w:eastAsia="宋体" w:cs="Times New Roman"/>
        </w:rPr>
        <w:t>一、结论</w:t>
      </w:r>
      <w:bookmarkEnd w:id="36"/>
    </w:p>
    <w:p>
      <w:pPr>
        <w:spacing w:line="360" w:lineRule="auto"/>
        <w:ind w:firstLine="562" w:firstLineChars="2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（一）方案适用年限</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湖南省汨罗市梅树湾矿区建筑用花岗岩矿矿山生态保护修复方案》是在矿山自然环境、生态环境、社会经济环境等进行了全面调查，并结合矿区生态环境现状，对矿区生态环境现状进行分析、存在的环境问题进行识别、诊断和对生态环境预测的基础上编制的。《方案》编制年限2024年5月，矿山剩余生产服务年限为***年，根据闭坑后矿山生态保护修复工作期1年估算，生态修复的土地复垦工程完成后3年内为绿化管护期。再加上前期约1年的筹建和基建时间，最终确定本方案的总体使用年限为***年。同时考虑生态修复方案的评审及备案时间，实施期考虑从2024年7月起有效，故本方案的服务年限为***年（即2024年7月-2039年4月）。</w:t>
      </w:r>
    </w:p>
    <w:p>
      <w:pPr>
        <w:spacing w:line="360" w:lineRule="auto"/>
        <w:ind w:firstLine="562" w:firstLineChars="2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（二）矿山生态问题识别和诊断</w:t>
      </w:r>
    </w:p>
    <w:p>
      <w:pPr>
        <w:spacing w:line="360" w:lineRule="auto"/>
        <w:ind w:firstLine="562" w:firstLineChars="2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1、地形地貌景观破坏</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现状及预测工业广场地面建设、矿山公路的修建一般对地形地貌景观不会造成重大影响，但是露天采场挖损了大面积土地、形成高陡岩边坡，排土场堆积废土石等压占了大面积土地资源，破坏了地表植被，对地形地貌及景观造成了破坏。</w:t>
      </w:r>
    </w:p>
    <w:p>
      <w:pPr>
        <w:spacing w:line="360" w:lineRule="auto"/>
        <w:ind w:firstLine="562" w:firstLineChars="2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2、土地资源占损</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矿山现状尚未开采，未形成对土地资源占损。</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预测矿业活动共</w:t>
      </w:r>
      <w:r>
        <w:rPr>
          <w:rFonts w:hint="eastAsia" w:ascii="Times New Roman" w:hAnsi="Times New Roman" w:eastAsia="宋体" w:cs="Times New Roman"/>
          <w:sz w:val="28"/>
          <w:szCs w:val="28"/>
          <w:lang w:val="en-US" w:eastAsia="zh-CN"/>
        </w:rPr>
        <w:t>占用</w:t>
      </w:r>
      <w:r>
        <w:rPr>
          <w:rFonts w:hint="default" w:ascii="Times New Roman" w:hAnsi="Times New Roman" w:eastAsia="宋体" w:cs="Times New Roman"/>
          <w:sz w:val="28"/>
          <w:szCs w:val="28"/>
          <w:lang w:val="en-US" w:eastAsia="zh-CN"/>
        </w:rPr>
        <w:t>土地资源***公顷，</w:t>
      </w:r>
      <w:r>
        <w:rPr>
          <w:rFonts w:hint="eastAsia" w:ascii="Times New Roman" w:hAnsi="Times New Roman" w:eastAsia="宋体" w:cs="Times New Roman"/>
          <w:sz w:val="28"/>
          <w:szCs w:val="28"/>
          <w:lang w:val="en-US" w:eastAsia="zh-CN"/>
        </w:rPr>
        <w:t>拟损毁</w:t>
      </w:r>
      <w:r>
        <w:rPr>
          <w:rFonts w:hint="default" w:ascii="Times New Roman" w:hAnsi="Times New Roman" w:eastAsia="宋体" w:cs="Times New Roman"/>
          <w:sz w:val="28"/>
          <w:szCs w:val="28"/>
          <w:lang w:val="en-US" w:eastAsia="zh-CN"/>
        </w:rPr>
        <w:t>土地资源***公顷，其中露采场损毁面积***公顷、工业广场损毁面积***公顷、拟建矿山道路损毁面积***公顷、排土场损毁面积***公顷</w:t>
      </w:r>
      <w:r>
        <w:rPr>
          <w:rFonts w:hint="eastAsia" w:ascii="Times New Roman" w:hAnsi="Times New Roman" w:eastAsia="宋体" w:cs="Times New Roman"/>
          <w:sz w:val="28"/>
          <w:szCs w:val="28"/>
          <w:lang w:val="en-US" w:eastAsia="zh-CN"/>
        </w:rPr>
        <w:t>。</w:t>
      </w:r>
    </w:p>
    <w:p>
      <w:pPr>
        <w:spacing w:line="360" w:lineRule="auto"/>
        <w:ind w:firstLine="562" w:firstLineChars="2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3、水资源水环境影响</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现状矿业活动对地下水资源枯竭、区域地下水均衡及地表水漏失等水资源的影响小，对水环境影响小。预测水资源破坏与现状相似、影响小；矿山开采灰岩矿体不含有毒有害物质，对周边环境基本无污染，未来矿山开采建设活动对水资源水生态影响小。</w:t>
      </w:r>
    </w:p>
    <w:p>
      <w:pPr>
        <w:spacing w:line="360" w:lineRule="auto"/>
        <w:ind w:firstLine="562" w:firstLineChars="2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4、矿山地质灾害影响</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矿山现状未发生过各类地质灾害，地质灾害危害影响小。预测分析未来采矿形成的终采坡面较陡，且高差较大，受爆破作业的影响，采坑上部容易形成孤石和松动岩土体，这些孤石和松动的岩土体有可能会发生崩塌、滑坡等地质灾害。矿山未来业活动引发泥石流的可能性小。</w:t>
      </w:r>
    </w:p>
    <w:p>
      <w:pPr>
        <w:spacing w:line="360" w:lineRule="auto"/>
        <w:ind w:firstLine="562" w:firstLineChars="2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5、生物多样性破坏</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现在及未来矿业活动占损土地对矿区植被造成一定的破坏，但对生物多样性不会产生破坏。</w:t>
      </w:r>
    </w:p>
    <w:p>
      <w:pPr>
        <w:spacing w:line="360" w:lineRule="auto"/>
        <w:ind w:firstLine="562" w:firstLineChars="2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（三）主要生态修复方案及经费估算</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本次设计的矿山生态修复工程有：露采场、工业广场及排土场复垦为林地；矿山道路保留作为农村道路和防火通道使用；修建沉淀池和截（排）水沟，避免造成水生态的污染问题；加强崩塌、滑坡地质灾害监测并预留防治费用；露采场周边设置围栏；加强全区的水质、植被监测工作等。</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通过计算，在方案的适用年限***年内，矿山生态修复工程费用估算为</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万元。其中：工程施工费</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万元（含生态保护保育工程费用</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万元，生态修复工程费用</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万元，监测和管护工程费用</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万元），其他费用</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万元，不可预见费</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万元</w:t>
      </w:r>
      <w:r>
        <w:rPr>
          <w:rFonts w:hint="eastAsia" w:ascii="Times New Roman" w:hAnsi="Times New Roman" w:eastAsia="宋体" w:cs="Times New Roman"/>
          <w:sz w:val="28"/>
          <w:szCs w:val="28"/>
          <w:lang w:val="en-US" w:eastAsia="zh-CN"/>
        </w:rPr>
        <w:t>，预留费用***万元</w:t>
      </w:r>
      <w:r>
        <w:rPr>
          <w:rFonts w:hint="default" w:ascii="Times New Roman" w:hAnsi="Times New Roman" w:eastAsia="宋体" w:cs="Times New Roman"/>
          <w:sz w:val="28"/>
          <w:szCs w:val="28"/>
          <w:lang w:val="en-US" w:eastAsia="zh-CN"/>
        </w:rPr>
        <w:t>。计划基金分4次（202</w:t>
      </w:r>
      <w:r>
        <w:rPr>
          <w:rFonts w:hint="eastAsia"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lang w:val="en-US" w:eastAsia="zh-CN"/>
        </w:rPr>
        <w:t>年—202</w:t>
      </w:r>
      <w:r>
        <w:rPr>
          <w:rFonts w:hint="eastAsia" w:ascii="Times New Roman" w:hAnsi="Times New Roman" w:eastAsia="宋体" w:cs="Times New Roman"/>
          <w:sz w:val="28"/>
          <w:szCs w:val="28"/>
          <w:lang w:val="en-US" w:eastAsia="zh-CN"/>
        </w:rPr>
        <w:t>7</w:t>
      </w:r>
      <w:r>
        <w:rPr>
          <w:rFonts w:hint="default" w:ascii="Times New Roman" w:hAnsi="Times New Roman" w:eastAsia="宋体" w:cs="Times New Roman"/>
          <w:sz w:val="28"/>
          <w:szCs w:val="28"/>
          <w:lang w:val="en-US" w:eastAsia="zh-CN"/>
        </w:rPr>
        <w:t>年）计提完毕，202</w:t>
      </w:r>
      <w:r>
        <w:rPr>
          <w:rFonts w:hint="eastAsia"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lang w:val="en-US" w:eastAsia="zh-CN"/>
        </w:rPr>
        <w:t>年拟提</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万元，202</w:t>
      </w:r>
      <w:r>
        <w:rPr>
          <w:rFonts w:hint="eastAsia" w:ascii="Times New Roman" w:hAnsi="Times New Roman" w:eastAsia="宋体" w:cs="Times New Roman"/>
          <w:sz w:val="28"/>
          <w:szCs w:val="28"/>
          <w:lang w:val="en-US" w:eastAsia="zh-CN"/>
        </w:rPr>
        <w:t>5</w:t>
      </w:r>
      <w:r>
        <w:rPr>
          <w:rFonts w:hint="default" w:ascii="Times New Roman" w:hAnsi="Times New Roman" w:eastAsia="宋体" w:cs="Times New Roman"/>
          <w:sz w:val="28"/>
          <w:szCs w:val="28"/>
          <w:lang w:val="en-US" w:eastAsia="zh-CN"/>
        </w:rPr>
        <w:t>年拟提</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万元，202</w:t>
      </w:r>
      <w:r>
        <w:rPr>
          <w:rFonts w:hint="eastAsia" w:ascii="Times New Roman" w:hAnsi="Times New Roman" w:eastAsia="宋体" w:cs="Times New Roman"/>
          <w:sz w:val="28"/>
          <w:szCs w:val="28"/>
          <w:lang w:val="en-US" w:eastAsia="zh-CN"/>
        </w:rPr>
        <w:t>6</w:t>
      </w:r>
      <w:r>
        <w:rPr>
          <w:rFonts w:hint="default" w:ascii="Times New Roman" w:hAnsi="Times New Roman" w:eastAsia="宋体" w:cs="Times New Roman"/>
          <w:sz w:val="28"/>
          <w:szCs w:val="28"/>
          <w:lang w:val="en-US" w:eastAsia="zh-CN"/>
        </w:rPr>
        <w:t>年拟提</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万元，202</w:t>
      </w:r>
      <w:r>
        <w:rPr>
          <w:rFonts w:hint="eastAsia" w:ascii="Times New Roman" w:hAnsi="Times New Roman" w:eastAsia="宋体" w:cs="Times New Roman"/>
          <w:sz w:val="28"/>
          <w:szCs w:val="28"/>
          <w:lang w:val="en-US" w:eastAsia="zh-CN"/>
        </w:rPr>
        <w:t>7</w:t>
      </w:r>
      <w:r>
        <w:rPr>
          <w:rFonts w:hint="default" w:ascii="Times New Roman" w:hAnsi="Times New Roman" w:eastAsia="宋体" w:cs="Times New Roman"/>
          <w:sz w:val="28"/>
          <w:szCs w:val="28"/>
          <w:lang w:val="en-US" w:eastAsia="zh-CN"/>
        </w:rPr>
        <w:t>年拟提</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万元，累计计提</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万元。</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矿山在未来达产（***万t/a）生产经营中，每年将为国家增收各种税费***万元，企业也将获得***万元的净利润。</w:t>
      </w:r>
    </w:p>
    <w:p>
      <w:pPr>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经对比未来矿山完全有能力计提生态修复工程费用，可为当地安排剩余劳动力就业，促进当地经济发展，企业在生产过程中加强生产管理、降低成本，效益将更为可观。但是矿山开采会对环境造成破坏和影响，市场价格的波动和品位的变化，也为投资者带来一定的风险。</w:t>
      </w:r>
    </w:p>
    <w:p>
      <w:pPr>
        <w:spacing w:line="360" w:lineRule="auto"/>
        <w:ind w:firstLine="562" w:firstLineChars="2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（四）结论</w:t>
      </w:r>
    </w:p>
    <w:p>
      <w:pPr>
        <w:spacing w:line="360" w:lineRule="auto"/>
        <w:ind w:firstLine="562" w:firstLineChars="20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结合前面所诊断的矿山生态问题，经对方案的经济、技术、环境可行性分析，矿山采取科学合理的生态保护修复措施后，不影响矿区局部生态系统的生态功能，矿山可建矿开采。</w:t>
      </w:r>
    </w:p>
    <w:p>
      <w:pPr>
        <w:pStyle w:val="3"/>
        <w:rPr>
          <w:rFonts w:hint="default" w:ascii="Times New Roman" w:hAnsi="Times New Roman" w:eastAsia="宋体" w:cs="Times New Roman"/>
        </w:rPr>
      </w:pPr>
      <w:bookmarkStart w:id="37" w:name="_Toc155772689"/>
      <w:r>
        <w:rPr>
          <w:rFonts w:hint="default" w:ascii="Times New Roman" w:hAnsi="Times New Roman" w:eastAsia="宋体" w:cs="Times New Roman"/>
        </w:rPr>
        <w:t>二、建议</w:t>
      </w:r>
      <w:bookmarkEnd w:id="37"/>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color w:val="000000"/>
          <w:kern w:val="0"/>
          <w:sz w:val="28"/>
          <w:szCs w:val="28"/>
          <w:lang w:val="en-US" w:eastAsia="zh-CN" w:bidi="ar"/>
        </w:rPr>
        <w:t>1、</w:t>
      </w:r>
      <w:r>
        <w:rPr>
          <w:rFonts w:hint="default" w:ascii="Times New Roman" w:hAnsi="Times New Roman" w:eastAsia="宋体" w:cs="Times New Roman"/>
          <w:sz w:val="28"/>
          <w:szCs w:val="28"/>
          <w:lang w:val="en-US" w:eastAsia="zh-CN"/>
        </w:rPr>
        <w:t>矿山生产期间，应严格按照《方案》提出的保护修复措施进行矿山生态保护修复；矿山停采后，应按照相关法律法规进行全面的矿山生态保护修复。</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2、方案仅对矿区水资源水生态做初步分析，水污染治理、土壤污染修复以生态环境部门的工作部署为准；建议矿山配合当地环保部门做好水资源水生态的治理。</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3、今后矿山开采过程中《开发利用方案》发生变化或变更用地位置、改变开采方式等，均应重新编制或修订矿山生态保护修复方案，并报自然资源部门批准机关批准。</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4、矿山应提高开采工艺、减轻不当扰动、规范采掘作业，并严格按要求进行监测，发现边坡变形和边坡危岩体、不稳定岩土体时要及时预警，并采取相关防护措施，避免地质灾害对人员以及矿山生产造成影响。</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5、本方案中所涉及的工程设计图、工程估算不能代表实际施工过程中施工图及费用估算，矿山实施复垦工作前，应该聘请有专业资质的单位对工程进行重新设计及费用预算等。</w:t>
      </w:r>
    </w:p>
    <w:p>
      <w:pPr>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6、本方案对于矿山的环境问题、安全生产问题只做定性评价，矿山开采对水土环境的污染应遵守环保部门的标准，安全</w:t>
      </w:r>
      <w:bookmarkStart w:id="38" w:name="_GoBack"/>
      <w:bookmarkEnd w:id="38"/>
      <w:r>
        <w:rPr>
          <w:rFonts w:hint="default" w:ascii="Times New Roman" w:hAnsi="Times New Roman" w:eastAsia="宋体" w:cs="Times New Roman"/>
          <w:sz w:val="28"/>
          <w:szCs w:val="28"/>
          <w:lang w:val="en-US" w:eastAsia="zh-CN"/>
        </w:rPr>
        <w:t>生产问题应遵守应急管理部门的标准。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宋体" w:cs="Times New Roman"/>
          <w:b/>
          <w:bCs/>
        </w:rPr>
      </w:pPr>
      <w:r>
        <w:rPr>
          <w:rFonts w:hint="default" w:ascii="Times New Roman" w:hAnsi="Times New Roman" w:eastAsia="宋体" w:cs="Times New Roman"/>
          <w:b/>
          <w:bCs/>
          <w:sz w:val="28"/>
          <w:szCs w:val="28"/>
        </w:rPr>
        <w:t>说明：在矿山生产过程中，矿山应根据实际发生的相关矿山生态环境问题，及时采取相应的防治、复垦措施。</w:t>
      </w:r>
    </w:p>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imesNewRomanPS-BoldMT">
    <w:altName w:val="ESRI AMFM Electric"/>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ESRI AMFM Electric">
    <w:panose1 w:val="020004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19"/>
      <w:rPr>
        <w:rFonts w:ascii="Times New Roman" w:hAnsi="Times New Roman" w:eastAsia="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1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19"/>
      <w:rPr>
        <w:rFonts w:ascii="Times New Roman" w:hAnsi="Times New Roman" w:eastAsia="Times New Roman" w:cs="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1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7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1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124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565188"/>
    <w:multiLevelType w:val="singleLevel"/>
    <w:tmpl w:val="B1565188"/>
    <w:lvl w:ilvl="0" w:tentative="0">
      <w:start w:val="1"/>
      <w:numFmt w:val="decimal"/>
      <w:suff w:val="nothing"/>
      <w:lvlText w:val="%1、"/>
      <w:lvlJc w:val="left"/>
    </w:lvl>
  </w:abstractNum>
  <w:abstractNum w:abstractNumId="1">
    <w:nsid w:val="E07667AE"/>
    <w:multiLevelType w:val="singleLevel"/>
    <w:tmpl w:val="E07667AE"/>
    <w:lvl w:ilvl="0" w:tentative="0">
      <w:start w:val="4"/>
      <w:numFmt w:val="decimal"/>
      <w:suff w:val="nothing"/>
      <w:lvlText w:val="%1、"/>
      <w:lvlJc w:val="left"/>
    </w:lvl>
  </w:abstractNum>
  <w:abstractNum w:abstractNumId="2">
    <w:nsid w:val="14FFC418"/>
    <w:multiLevelType w:val="singleLevel"/>
    <w:tmpl w:val="14FFC418"/>
    <w:lvl w:ilvl="0" w:tentative="0">
      <w:start w:val="2"/>
      <w:numFmt w:val="decimal"/>
      <w:suff w:val="nothing"/>
      <w:lvlText w:val="（%1）"/>
      <w:lvlJc w:val="left"/>
    </w:lvl>
  </w:abstractNum>
  <w:abstractNum w:abstractNumId="3">
    <w:nsid w:val="19C71A8E"/>
    <w:multiLevelType w:val="multilevel"/>
    <w:tmpl w:val="19C71A8E"/>
    <w:lvl w:ilvl="0" w:tentative="0">
      <w:start w:val="1"/>
      <w:numFmt w:val="japaneseCounting"/>
      <w:lvlText w:val="第%1章"/>
      <w:lvlJc w:val="left"/>
      <w:pPr>
        <w:ind w:left="1545" w:hanging="154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536A3CC"/>
    <w:multiLevelType w:val="singleLevel"/>
    <w:tmpl w:val="2536A3CC"/>
    <w:lvl w:ilvl="0" w:tentative="0">
      <w:start w:val="1"/>
      <w:numFmt w:val="decimal"/>
      <w:suff w:val="nothing"/>
      <w:lvlText w:val="%1、"/>
      <w:lvlJc w:val="left"/>
    </w:lvl>
  </w:abstractNum>
  <w:abstractNum w:abstractNumId="5">
    <w:nsid w:val="7B3D2623"/>
    <w:multiLevelType w:val="singleLevel"/>
    <w:tmpl w:val="7B3D2623"/>
    <w:lvl w:ilvl="0" w:tentative="0">
      <w:start w:val="2"/>
      <w:numFmt w:val="chineseCounting"/>
      <w:suff w:val="nothing"/>
      <w:lvlText w:val="（%1）"/>
      <w:lvlJc w:val="left"/>
      <w:rPr>
        <w:rFonts w:hint="eastAsia"/>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5MzUyOTBlNjQ3MjY5MTQxYmQxZDFjODA2NmQ2MGIifQ=="/>
  </w:docVars>
  <w:rsids>
    <w:rsidRoot w:val="00FE4A9E"/>
    <w:rsid w:val="0000467A"/>
    <w:rsid w:val="000063C0"/>
    <w:rsid w:val="0001071A"/>
    <w:rsid w:val="00011732"/>
    <w:rsid w:val="000237C7"/>
    <w:rsid w:val="00032B0E"/>
    <w:rsid w:val="000464C5"/>
    <w:rsid w:val="000534C9"/>
    <w:rsid w:val="00055EAA"/>
    <w:rsid w:val="0006476B"/>
    <w:rsid w:val="00065F82"/>
    <w:rsid w:val="00066878"/>
    <w:rsid w:val="00067771"/>
    <w:rsid w:val="000727E0"/>
    <w:rsid w:val="00073731"/>
    <w:rsid w:val="00073BE1"/>
    <w:rsid w:val="00074E55"/>
    <w:rsid w:val="00084ED5"/>
    <w:rsid w:val="000C21B7"/>
    <w:rsid w:val="000C3F08"/>
    <w:rsid w:val="000D3750"/>
    <w:rsid w:val="000E03BB"/>
    <w:rsid w:val="000E1B1A"/>
    <w:rsid w:val="000E28A7"/>
    <w:rsid w:val="00105D88"/>
    <w:rsid w:val="00107E74"/>
    <w:rsid w:val="00116153"/>
    <w:rsid w:val="00122D89"/>
    <w:rsid w:val="001245AA"/>
    <w:rsid w:val="001330C4"/>
    <w:rsid w:val="001353C5"/>
    <w:rsid w:val="00144502"/>
    <w:rsid w:val="00150198"/>
    <w:rsid w:val="00152400"/>
    <w:rsid w:val="001577E5"/>
    <w:rsid w:val="00162637"/>
    <w:rsid w:val="001741B2"/>
    <w:rsid w:val="001813C4"/>
    <w:rsid w:val="001875FB"/>
    <w:rsid w:val="00192D22"/>
    <w:rsid w:val="00194B71"/>
    <w:rsid w:val="001B2B3D"/>
    <w:rsid w:val="001B5C18"/>
    <w:rsid w:val="001C71BE"/>
    <w:rsid w:val="001D1B59"/>
    <w:rsid w:val="001D2654"/>
    <w:rsid w:val="001D4249"/>
    <w:rsid w:val="001D5CA8"/>
    <w:rsid w:val="001E0487"/>
    <w:rsid w:val="001F187B"/>
    <w:rsid w:val="001F4AF7"/>
    <w:rsid w:val="001F75FB"/>
    <w:rsid w:val="0021021A"/>
    <w:rsid w:val="00211D81"/>
    <w:rsid w:val="00213348"/>
    <w:rsid w:val="002433AC"/>
    <w:rsid w:val="00244569"/>
    <w:rsid w:val="00247813"/>
    <w:rsid w:val="002531C6"/>
    <w:rsid w:val="00273016"/>
    <w:rsid w:val="00286819"/>
    <w:rsid w:val="00286A5A"/>
    <w:rsid w:val="00287474"/>
    <w:rsid w:val="002907ED"/>
    <w:rsid w:val="002A0061"/>
    <w:rsid w:val="002A0F67"/>
    <w:rsid w:val="002A3EDB"/>
    <w:rsid w:val="002B316E"/>
    <w:rsid w:val="002C3EDB"/>
    <w:rsid w:val="002D47A3"/>
    <w:rsid w:val="002D7C45"/>
    <w:rsid w:val="002E203E"/>
    <w:rsid w:val="002E62C2"/>
    <w:rsid w:val="002E6898"/>
    <w:rsid w:val="0030082E"/>
    <w:rsid w:val="0030230B"/>
    <w:rsid w:val="00302F14"/>
    <w:rsid w:val="003065DB"/>
    <w:rsid w:val="003074D5"/>
    <w:rsid w:val="003205C9"/>
    <w:rsid w:val="00322CF2"/>
    <w:rsid w:val="00324A7C"/>
    <w:rsid w:val="00326428"/>
    <w:rsid w:val="00330FDC"/>
    <w:rsid w:val="00331EA2"/>
    <w:rsid w:val="00341498"/>
    <w:rsid w:val="0034547B"/>
    <w:rsid w:val="003514CF"/>
    <w:rsid w:val="00361EF4"/>
    <w:rsid w:val="003657F5"/>
    <w:rsid w:val="00366D6F"/>
    <w:rsid w:val="00371D05"/>
    <w:rsid w:val="0037425A"/>
    <w:rsid w:val="003807F7"/>
    <w:rsid w:val="00382F68"/>
    <w:rsid w:val="00385C4B"/>
    <w:rsid w:val="003A47F8"/>
    <w:rsid w:val="003A4ABD"/>
    <w:rsid w:val="003B70FA"/>
    <w:rsid w:val="003C77F9"/>
    <w:rsid w:val="003D2B77"/>
    <w:rsid w:val="003D4B82"/>
    <w:rsid w:val="003E504E"/>
    <w:rsid w:val="003E611D"/>
    <w:rsid w:val="003E76D2"/>
    <w:rsid w:val="003E7B46"/>
    <w:rsid w:val="003F0EC5"/>
    <w:rsid w:val="003F5E1F"/>
    <w:rsid w:val="0040535D"/>
    <w:rsid w:val="004053AC"/>
    <w:rsid w:val="00413285"/>
    <w:rsid w:val="00425715"/>
    <w:rsid w:val="00427F63"/>
    <w:rsid w:val="00442518"/>
    <w:rsid w:val="00442957"/>
    <w:rsid w:val="00442AFF"/>
    <w:rsid w:val="00444908"/>
    <w:rsid w:val="00450C34"/>
    <w:rsid w:val="00454AF4"/>
    <w:rsid w:val="00482AE9"/>
    <w:rsid w:val="00483F85"/>
    <w:rsid w:val="0048629F"/>
    <w:rsid w:val="004876EE"/>
    <w:rsid w:val="004878CF"/>
    <w:rsid w:val="00492352"/>
    <w:rsid w:val="00497BD6"/>
    <w:rsid w:val="004A12AE"/>
    <w:rsid w:val="004A17A7"/>
    <w:rsid w:val="004C3438"/>
    <w:rsid w:val="004D0FA3"/>
    <w:rsid w:val="004D3736"/>
    <w:rsid w:val="004D45B5"/>
    <w:rsid w:val="004F5C17"/>
    <w:rsid w:val="004F7F15"/>
    <w:rsid w:val="005007E2"/>
    <w:rsid w:val="00503E8F"/>
    <w:rsid w:val="005054F9"/>
    <w:rsid w:val="00514F35"/>
    <w:rsid w:val="00525548"/>
    <w:rsid w:val="005332E3"/>
    <w:rsid w:val="00537F1A"/>
    <w:rsid w:val="0054102E"/>
    <w:rsid w:val="0054223C"/>
    <w:rsid w:val="005445E6"/>
    <w:rsid w:val="005515EC"/>
    <w:rsid w:val="00552795"/>
    <w:rsid w:val="00565DAB"/>
    <w:rsid w:val="0056709B"/>
    <w:rsid w:val="005711BD"/>
    <w:rsid w:val="005762E6"/>
    <w:rsid w:val="00576F2A"/>
    <w:rsid w:val="005777BF"/>
    <w:rsid w:val="00582924"/>
    <w:rsid w:val="00583C38"/>
    <w:rsid w:val="0058577A"/>
    <w:rsid w:val="00587FAD"/>
    <w:rsid w:val="00591524"/>
    <w:rsid w:val="005A1663"/>
    <w:rsid w:val="005A1A0F"/>
    <w:rsid w:val="005B418B"/>
    <w:rsid w:val="005C3EAF"/>
    <w:rsid w:val="005D2BFF"/>
    <w:rsid w:val="005D45EA"/>
    <w:rsid w:val="005E08AE"/>
    <w:rsid w:val="005E0E40"/>
    <w:rsid w:val="005E25DF"/>
    <w:rsid w:val="005F2119"/>
    <w:rsid w:val="005F3CAB"/>
    <w:rsid w:val="005F5A0F"/>
    <w:rsid w:val="005F7D68"/>
    <w:rsid w:val="00603E6B"/>
    <w:rsid w:val="0061362A"/>
    <w:rsid w:val="00617B18"/>
    <w:rsid w:val="006278B3"/>
    <w:rsid w:val="006376D4"/>
    <w:rsid w:val="00664AE3"/>
    <w:rsid w:val="006708E4"/>
    <w:rsid w:val="006708FB"/>
    <w:rsid w:val="00681CFA"/>
    <w:rsid w:val="00682223"/>
    <w:rsid w:val="006857D7"/>
    <w:rsid w:val="00694E4F"/>
    <w:rsid w:val="006A0493"/>
    <w:rsid w:val="006B390D"/>
    <w:rsid w:val="006B3911"/>
    <w:rsid w:val="006B5610"/>
    <w:rsid w:val="006C6933"/>
    <w:rsid w:val="006D0BE3"/>
    <w:rsid w:val="006E1436"/>
    <w:rsid w:val="006E1677"/>
    <w:rsid w:val="006E5174"/>
    <w:rsid w:val="006E619A"/>
    <w:rsid w:val="006E717C"/>
    <w:rsid w:val="006F7BC0"/>
    <w:rsid w:val="0072564B"/>
    <w:rsid w:val="007318DF"/>
    <w:rsid w:val="00735207"/>
    <w:rsid w:val="00751D59"/>
    <w:rsid w:val="00754968"/>
    <w:rsid w:val="00761959"/>
    <w:rsid w:val="007664D7"/>
    <w:rsid w:val="00770172"/>
    <w:rsid w:val="0077374B"/>
    <w:rsid w:val="00783D4F"/>
    <w:rsid w:val="0079252A"/>
    <w:rsid w:val="007A1E30"/>
    <w:rsid w:val="007A5193"/>
    <w:rsid w:val="007A5E81"/>
    <w:rsid w:val="007B3C5B"/>
    <w:rsid w:val="007C12FF"/>
    <w:rsid w:val="007C18E1"/>
    <w:rsid w:val="007C2196"/>
    <w:rsid w:val="007D24F4"/>
    <w:rsid w:val="007D2E1E"/>
    <w:rsid w:val="007E29B2"/>
    <w:rsid w:val="007F52C3"/>
    <w:rsid w:val="007F741D"/>
    <w:rsid w:val="00803B34"/>
    <w:rsid w:val="00814795"/>
    <w:rsid w:val="0082757B"/>
    <w:rsid w:val="0084716F"/>
    <w:rsid w:val="008549E3"/>
    <w:rsid w:val="00854F48"/>
    <w:rsid w:val="00855D19"/>
    <w:rsid w:val="00857B60"/>
    <w:rsid w:val="008629BF"/>
    <w:rsid w:val="00865221"/>
    <w:rsid w:val="008657FD"/>
    <w:rsid w:val="008725C8"/>
    <w:rsid w:val="0087401C"/>
    <w:rsid w:val="00876710"/>
    <w:rsid w:val="00884EE2"/>
    <w:rsid w:val="008920D9"/>
    <w:rsid w:val="008A332E"/>
    <w:rsid w:val="008A351E"/>
    <w:rsid w:val="008A418E"/>
    <w:rsid w:val="008B003D"/>
    <w:rsid w:val="008C2F33"/>
    <w:rsid w:val="008D0A13"/>
    <w:rsid w:val="008D1904"/>
    <w:rsid w:val="008F462E"/>
    <w:rsid w:val="008F5661"/>
    <w:rsid w:val="0092019D"/>
    <w:rsid w:val="00933108"/>
    <w:rsid w:val="00955E67"/>
    <w:rsid w:val="00956F18"/>
    <w:rsid w:val="00957605"/>
    <w:rsid w:val="0097496F"/>
    <w:rsid w:val="009A1181"/>
    <w:rsid w:val="009A3908"/>
    <w:rsid w:val="009B0BA3"/>
    <w:rsid w:val="009C7015"/>
    <w:rsid w:val="009C7FD2"/>
    <w:rsid w:val="009D5B62"/>
    <w:rsid w:val="009E5198"/>
    <w:rsid w:val="009F335B"/>
    <w:rsid w:val="009F5A64"/>
    <w:rsid w:val="00A02241"/>
    <w:rsid w:val="00A06B11"/>
    <w:rsid w:val="00A07817"/>
    <w:rsid w:val="00A1200A"/>
    <w:rsid w:val="00A20801"/>
    <w:rsid w:val="00A2139B"/>
    <w:rsid w:val="00A26B0E"/>
    <w:rsid w:val="00A345C0"/>
    <w:rsid w:val="00A41598"/>
    <w:rsid w:val="00A43C95"/>
    <w:rsid w:val="00A50444"/>
    <w:rsid w:val="00A61629"/>
    <w:rsid w:val="00A63B9D"/>
    <w:rsid w:val="00A8053A"/>
    <w:rsid w:val="00A92C2D"/>
    <w:rsid w:val="00AA7EBB"/>
    <w:rsid w:val="00AB34A2"/>
    <w:rsid w:val="00AC6069"/>
    <w:rsid w:val="00AD172C"/>
    <w:rsid w:val="00AD332E"/>
    <w:rsid w:val="00AE34CC"/>
    <w:rsid w:val="00AE4298"/>
    <w:rsid w:val="00AE7F48"/>
    <w:rsid w:val="00AF2AF5"/>
    <w:rsid w:val="00B178B2"/>
    <w:rsid w:val="00B24426"/>
    <w:rsid w:val="00B26902"/>
    <w:rsid w:val="00B31704"/>
    <w:rsid w:val="00B3456E"/>
    <w:rsid w:val="00B35841"/>
    <w:rsid w:val="00B4017C"/>
    <w:rsid w:val="00B42462"/>
    <w:rsid w:val="00B44B30"/>
    <w:rsid w:val="00B464DF"/>
    <w:rsid w:val="00B53690"/>
    <w:rsid w:val="00B667EB"/>
    <w:rsid w:val="00B7017E"/>
    <w:rsid w:val="00B72A47"/>
    <w:rsid w:val="00B8226D"/>
    <w:rsid w:val="00B866A0"/>
    <w:rsid w:val="00B87AA3"/>
    <w:rsid w:val="00BC1B86"/>
    <w:rsid w:val="00BD1717"/>
    <w:rsid w:val="00BD2BEF"/>
    <w:rsid w:val="00BE153A"/>
    <w:rsid w:val="00BE27A3"/>
    <w:rsid w:val="00BE724A"/>
    <w:rsid w:val="00C10959"/>
    <w:rsid w:val="00C13B4F"/>
    <w:rsid w:val="00C17E5C"/>
    <w:rsid w:val="00C26277"/>
    <w:rsid w:val="00C33016"/>
    <w:rsid w:val="00C35176"/>
    <w:rsid w:val="00C3760E"/>
    <w:rsid w:val="00C43847"/>
    <w:rsid w:val="00C45326"/>
    <w:rsid w:val="00C45921"/>
    <w:rsid w:val="00C46DA2"/>
    <w:rsid w:val="00C526EF"/>
    <w:rsid w:val="00C54922"/>
    <w:rsid w:val="00C561B4"/>
    <w:rsid w:val="00C576D0"/>
    <w:rsid w:val="00C633ED"/>
    <w:rsid w:val="00C66F3B"/>
    <w:rsid w:val="00C72084"/>
    <w:rsid w:val="00C73C9E"/>
    <w:rsid w:val="00CA3ABF"/>
    <w:rsid w:val="00CA3BCD"/>
    <w:rsid w:val="00CA3EAD"/>
    <w:rsid w:val="00CC021B"/>
    <w:rsid w:val="00CC1DDF"/>
    <w:rsid w:val="00CD34F1"/>
    <w:rsid w:val="00CD49AB"/>
    <w:rsid w:val="00CE0F2E"/>
    <w:rsid w:val="00CE1532"/>
    <w:rsid w:val="00CE4613"/>
    <w:rsid w:val="00CF572E"/>
    <w:rsid w:val="00CF70F2"/>
    <w:rsid w:val="00CF753B"/>
    <w:rsid w:val="00D10BBE"/>
    <w:rsid w:val="00D20AC6"/>
    <w:rsid w:val="00D262FE"/>
    <w:rsid w:val="00D400A4"/>
    <w:rsid w:val="00D434AD"/>
    <w:rsid w:val="00D45815"/>
    <w:rsid w:val="00D6518B"/>
    <w:rsid w:val="00D65D79"/>
    <w:rsid w:val="00D668E9"/>
    <w:rsid w:val="00D717B3"/>
    <w:rsid w:val="00D733CA"/>
    <w:rsid w:val="00D77F7A"/>
    <w:rsid w:val="00D80177"/>
    <w:rsid w:val="00D80581"/>
    <w:rsid w:val="00D941A0"/>
    <w:rsid w:val="00DA71D5"/>
    <w:rsid w:val="00DB2BC6"/>
    <w:rsid w:val="00DB6AC4"/>
    <w:rsid w:val="00DD000A"/>
    <w:rsid w:val="00DD4B24"/>
    <w:rsid w:val="00DE32ED"/>
    <w:rsid w:val="00DE418D"/>
    <w:rsid w:val="00DF01CD"/>
    <w:rsid w:val="00DF414A"/>
    <w:rsid w:val="00DF5A2C"/>
    <w:rsid w:val="00DF74EE"/>
    <w:rsid w:val="00E05570"/>
    <w:rsid w:val="00E07B02"/>
    <w:rsid w:val="00E159F0"/>
    <w:rsid w:val="00E211FD"/>
    <w:rsid w:val="00E35160"/>
    <w:rsid w:val="00E40D39"/>
    <w:rsid w:val="00E44C6F"/>
    <w:rsid w:val="00E5069D"/>
    <w:rsid w:val="00E52D82"/>
    <w:rsid w:val="00E5338A"/>
    <w:rsid w:val="00E60AB2"/>
    <w:rsid w:val="00E84126"/>
    <w:rsid w:val="00E84F26"/>
    <w:rsid w:val="00EA1DE1"/>
    <w:rsid w:val="00EC04D3"/>
    <w:rsid w:val="00EE60B2"/>
    <w:rsid w:val="00F02C55"/>
    <w:rsid w:val="00F02CBB"/>
    <w:rsid w:val="00F0312F"/>
    <w:rsid w:val="00F141EB"/>
    <w:rsid w:val="00F226D7"/>
    <w:rsid w:val="00F24805"/>
    <w:rsid w:val="00F24E5F"/>
    <w:rsid w:val="00F2505A"/>
    <w:rsid w:val="00F35317"/>
    <w:rsid w:val="00F409D9"/>
    <w:rsid w:val="00F47607"/>
    <w:rsid w:val="00F53F12"/>
    <w:rsid w:val="00F57662"/>
    <w:rsid w:val="00F576B1"/>
    <w:rsid w:val="00F644EE"/>
    <w:rsid w:val="00F70766"/>
    <w:rsid w:val="00F87861"/>
    <w:rsid w:val="00F94730"/>
    <w:rsid w:val="00F96EA6"/>
    <w:rsid w:val="00FA5E1F"/>
    <w:rsid w:val="00FB2CD7"/>
    <w:rsid w:val="00FB4E16"/>
    <w:rsid w:val="00FB7CB8"/>
    <w:rsid w:val="00FC206F"/>
    <w:rsid w:val="00FE039D"/>
    <w:rsid w:val="00FE4A9E"/>
    <w:rsid w:val="00FF455A"/>
    <w:rsid w:val="00FF5185"/>
    <w:rsid w:val="01372215"/>
    <w:rsid w:val="0176679E"/>
    <w:rsid w:val="028E3199"/>
    <w:rsid w:val="02CD1F13"/>
    <w:rsid w:val="035B08B6"/>
    <w:rsid w:val="035F7078"/>
    <w:rsid w:val="03DD0BF2"/>
    <w:rsid w:val="03EF5B75"/>
    <w:rsid w:val="03F86B1C"/>
    <w:rsid w:val="04ED55DE"/>
    <w:rsid w:val="04F25D7B"/>
    <w:rsid w:val="04F54549"/>
    <w:rsid w:val="05106822"/>
    <w:rsid w:val="051E6A56"/>
    <w:rsid w:val="053D1509"/>
    <w:rsid w:val="053E2C54"/>
    <w:rsid w:val="05612596"/>
    <w:rsid w:val="059705B7"/>
    <w:rsid w:val="05B95138"/>
    <w:rsid w:val="066D1B34"/>
    <w:rsid w:val="0767782A"/>
    <w:rsid w:val="079C0106"/>
    <w:rsid w:val="08A6175E"/>
    <w:rsid w:val="095A2027"/>
    <w:rsid w:val="09855662"/>
    <w:rsid w:val="098D67F2"/>
    <w:rsid w:val="09DE67B4"/>
    <w:rsid w:val="0A602F69"/>
    <w:rsid w:val="0A613847"/>
    <w:rsid w:val="0B375954"/>
    <w:rsid w:val="0B7E6B82"/>
    <w:rsid w:val="0C166733"/>
    <w:rsid w:val="0C321AB2"/>
    <w:rsid w:val="0C373800"/>
    <w:rsid w:val="0C48260B"/>
    <w:rsid w:val="0CB677F4"/>
    <w:rsid w:val="0D1F15C8"/>
    <w:rsid w:val="0D204581"/>
    <w:rsid w:val="0D2E089A"/>
    <w:rsid w:val="0E8122BC"/>
    <w:rsid w:val="0F4B02C2"/>
    <w:rsid w:val="0F706100"/>
    <w:rsid w:val="0F8704DA"/>
    <w:rsid w:val="102B2D0D"/>
    <w:rsid w:val="105668F7"/>
    <w:rsid w:val="10770407"/>
    <w:rsid w:val="11A255E3"/>
    <w:rsid w:val="11CC10FB"/>
    <w:rsid w:val="11F95EB5"/>
    <w:rsid w:val="12DD46A3"/>
    <w:rsid w:val="12E22A27"/>
    <w:rsid w:val="12FE7EC7"/>
    <w:rsid w:val="145D29CB"/>
    <w:rsid w:val="149C3F05"/>
    <w:rsid w:val="14B5364C"/>
    <w:rsid w:val="14ED0453"/>
    <w:rsid w:val="17DD7339"/>
    <w:rsid w:val="17E551B2"/>
    <w:rsid w:val="184E71FB"/>
    <w:rsid w:val="18D86AC4"/>
    <w:rsid w:val="19575C3B"/>
    <w:rsid w:val="1A8D42CF"/>
    <w:rsid w:val="1ADD29EF"/>
    <w:rsid w:val="1C297D63"/>
    <w:rsid w:val="1D661869"/>
    <w:rsid w:val="1D6D0123"/>
    <w:rsid w:val="1DB83DBE"/>
    <w:rsid w:val="1E024ED4"/>
    <w:rsid w:val="1E06749C"/>
    <w:rsid w:val="1EFF2FFD"/>
    <w:rsid w:val="1F3522C3"/>
    <w:rsid w:val="1F363B45"/>
    <w:rsid w:val="1F9647B1"/>
    <w:rsid w:val="200D1139"/>
    <w:rsid w:val="202C6073"/>
    <w:rsid w:val="206C2914"/>
    <w:rsid w:val="209836F7"/>
    <w:rsid w:val="20E90613"/>
    <w:rsid w:val="230C1B92"/>
    <w:rsid w:val="237A0EA4"/>
    <w:rsid w:val="23AB4FBA"/>
    <w:rsid w:val="23B949CF"/>
    <w:rsid w:val="24B6092B"/>
    <w:rsid w:val="25367868"/>
    <w:rsid w:val="254E083A"/>
    <w:rsid w:val="255D5E74"/>
    <w:rsid w:val="25746B14"/>
    <w:rsid w:val="25DA5A8A"/>
    <w:rsid w:val="26036053"/>
    <w:rsid w:val="262670C1"/>
    <w:rsid w:val="26C8461C"/>
    <w:rsid w:val="26F150F6"/>
    <w:rsid w:val="27AC65CB"/>
    <w:rsid w:val="27FF4312"/>
    <w:rsid w:val="28862CF4"/>
    <w:rsid w:val="29383E2B"/>
    <w:rsid w:val="298734E1"/>
    <w:rsid w:val="2A2C2224"/>
    <w:rsid w:val="2BE46CD0"/>
    <w:rsid w:val="2C712F33"/>
    <w:rsid w:val="2C781C94"/>
    <w:rsid w:val="2ED27DE6"/>
    <w:rsid w:val="2F0A285A"/>
    <w:rsid w:val="2FAB0029"/>
    <w:rsid w:val="2FF24B01"/>
    <w:rsid w:val="30EE4C7F"/>
    <w:rsid w:val="314C2533"/>
    <w:rsid w:val="327A46F9"/>
    <w:rsid w:val="3348538E"/>
    <w:rsid w:val="353A66E5"/>
    <w:rsid w:val="358515A1"/>
    <w:rsid w:val="35976F45"/>
    <w:rsid w:val="35A82D67"/>
    <w:rsid w:val="35B4625C"/>
    <w:rsid w:val="35C67F79"/>
    <w:rsid w:val="361231BE"/>
    <w:rsid w:val="363D6D9F"/>
    <w:rsid w:val="36FF3742"/>
    <w:rsid w:val="370E1BD7"/>
    <w:rsid w:val="371F18A0"/>
    <w:rsid w:val="372376B1"/>
    <w:rsid w:val="373C383C"/>
    <w:rsid w:val="37586589"/>
    <w:rsid w:val="37DF0053"/>
    <w:rsid w:val="386177D1"/>
    <w:rsid w:val="388008B3"/>
    <w:rsid w:val="389D1465"/>
    <w:rsid w:val="38A31246"/>
    <w:rsid w:val="392033CF"/>
    <w:rsid w:val="392E47B3"/>
    <w:rsid w:val="39641F82"/>
    <w:rsid w:val="39837544"/>
    <w:rsid w:val="3B91490E"/>
    <w:rsid w:val="3C25241D"/>
    <w:rsid w:val="3CEA2C84"/>
    <w:rsid w:val="3D617DF5"/>
    <w:rsid w:val="3D6562C9"/>
    <w:rsid w:val="3E126451"/>
    <w:rsid w:val="3E452C61"/>
    <w:rsid w:val="3E7964D0"/>
    <w:rsid w:val="3EF85A86"/>
    <w:rsid w:val="3F591E5E"/>
    <w:rsid w:val="3F817B27"/>
    <w:rsid w:val="3FA75D94"/>
    <w:rsid w:val="3FC27A03"/>
    <w:rsid w:val="401D6836"/>
    <w:rsid w:val="407D392A"/>
    <w:rsid w:val="4080519A"/>
    <w:rsid w:val="40953B9F"/>
    <w:rsid w:val="40B153AA"/>
    <w:rsid w:val="40D47F63"/>
    <w:rsid w:val="410276E6"/>
    <w:rsid w:val="4192739C"/>
    <w:rsid w:val="42350960"/>
    <w:rsid w:val="42E761D3"/>
    <w:rsid w:val="430C0BAE"/>
    <w:rsid w:val="43DE4EDB"/>
    <w:rsid w:val="44701DDD"/>
    <w:rsid w:val="44790D0D"/>
    <w:rsid w:val="451E1B7F"/>
    <w:rsid w:val="45794DC3"/>
    <w:rsid w:val="45ED50AE"/>
    <w:rsid w:val="469A1566"/>
    <w:rsid w:val="469F6164"/>
    <w:rsid w:val="46D74B1D"/>
    <w:rsid w:val="47507FEA"/>
    <w:rsid w:val="476D64A6"/>
    <w:rsid w:val="47786CD0"/>
    <w:rsid w:val="478C7464"/>
    <w:rsid w:val="47905893"/>
    <w:rsid w:val="47EC3A13"/>
    <w:rsid w:val="47F753A6"/>
    <w:rsid w:val="4958211B"/>
    <w:rsid w:val="4A58168F"/>
    <w:rsid w:val="4A8B69B4"/>
    <w:rsid w:val="4AFA500A"/>
    <w:rsid w:val="4B2D5A04"/>
    <w:rsid w:val="4B3612A5"/>
    <w:rsid w:val="4B92424D"/>
    <w:rsid w:val="4BA16B7E"/>
    <w:rsid w:val="4BDD6A09"/>
    <w:rsid w:val="4C352DFF"/>
    <w:rsid w:val="4DC67E79"/>
    <w:rsid w:val="4E7D511F"/>
    <w:rsid w:val="4ECF4B8F"/>
    <w:rsid w:val="4EEC05F8"/>
    <w:rsid w:val="4EF120B3"/>
    <w:rsid w:val="4F1A50A6"/>
    <w:rsid w:val="4F3F2C0D"/>
    <w:rsid w:val="4FAB1C62"/>
    <w:rsid w:val="4FD27398"/>
    <w:rsid w:val="507B7A10"/>
    <w:rsid w:val="509937B4"/>
    <w:rsid w:val="51621046"/>
    <w:rsid w:val="51BF1FF4"/>
    <w:rsid w:val="51F06E1F"/>
    <w:rsid w:val="52352944"/>
    <w:rsid w:val="523B5BF6"/>
    <w:rsid w:val="524D5852"/>
    <w:rsid w:val="52885B32"/>
    <w:rsid w:val="52D012AE"/>
    <w:rsid w:val="530D2324"/>
    <w:rsid w:val="53C2401E"/>
    <w:rsid w:val="53D53D13"/>
    <w:rsid w:val="540C1541"/>
    <w:rsid w:val="554D14A7"/>
    <w:rsid w:val="55E657A2"/>
    <w:rsid w:val="56102E1E"/>
    <w:rsid w:val="57CA34A1"/>
    <w:rsid w:val="5875340D"/>
    <w:rsid w:val="587F24DD"/>
    <w:rsid w:val="58871589"/>
    <w:rsid w:val="58F31AEC"/>
    <w:rsid w:val="59B7067C"/>
    <w:rsid w:val="5A0C68B9"/>
    <w:rsid w:val="5A276988"/>
    <w:rsid w:val="5ABA54E8"/>
    <w:rsid w:val="5C8A22AD"/>
    <w:rsid w:val="5D1D22C5"/>
    <w:rsid w:val="5D8D2FA6"/>
    <w:rsid w:val="5DC126BE"/>
    <w:rsid w:val="5DDA5E1A"/>
    <w:rsid w:val="5E7E1808"/>
    <w:rsid w:val="5F7A39FE"/>
    <w:rsid w:val="5FBE78F6"/>
    <w:rsid w:val="602858D8"/>
    <w:rsid w:val="60367925"/>
    <w:rsid w:val="6078689C"/>
    <w:rsid w:val="60FA4DF7"/>
    <w:rsid w:val="61283B73"/>
    <w:rsid w:val="6168361D"/>
    <w:rsid w:val="617A61D7"/>
    <w:rsid w:val="61AA6562"/>
    <w:rsid w:val="620077A9"/>
    <w:rsid w:val="62391546"/>
    <w:rsid w:val="623D14F3"/>
    <w:rsid w:val="625F1561"/>
    <w:rsid w:val="62B47BBF"/>
    <w:rsid w:val="62FF42B8"/>
    <w:rsid w:val="637A5C81"/>
    <w:rsid w:val="64D13257"/>
    <w:rsid w:val="65C07C91"/>
    <w:rsid w:val="65D11E9E"/>
    <w:rsid w:val="65D61EE1"/>
    <w:rsid w:val="65DC0F6F"/>
    <w:rsid w:val="66062811"/>
    <w:rsid w:val="66481F61"/>
    <w:rsid w:val="664E1524"/>
    <w:rsid w:val="66664CDC"/>
    <w:rsid w:val="66803F58"/>
    <w:rsid w:val="6714680B"/>
    <w:rsid w:val="673C7B87"/>
    <w:rsid w:val="67DE35E9"/>
    <w:rsid w:val="67FB059A"/>
    <w:rsid w:val="685D400B"/>
    <w:rsid w:val="687C7414"/>
    <w:rsid w:val="68FC366B"/>
    <w:rsid w:val="69464C6D"/>
    <w:rsid w:val="69DC0762"/>
    <w:rsid w:val="6A1A02B8"/>
    <w:rsid w:val="6A58493C"/>
    <w:rsid w:val="6A745C1A"/>
    <w:rsid w:val="6AA04F28"/>
    <w:rsid w:val="6ADF0BB9"/>
    <w:rsid w:val="6B673089"/>
    <w:rsid w:val="6B8735B1"/>
    <w:rsid w:val="6BC84788"/>
    <w:rsid w:val="6BC95AF1"/>
    <w:rsid w:val="6C373544"/>
    <w:rsid w:val="6C621839"/>
    <w:rsid w:val="6ED8604B"/>
    <w:rsid w:val="6F086BFD"/>
    <w:rsid w:val="6FBD3BBF"/>
    <w:rsid w:val="70AE0489"/>
    <w:rsid w:val="70B36D70"/>
    <w:rsid w:val="70FA7044"/>
    <w:rsid w:val="714B0D57"/>
    <w:rsid w:val="717C3606"/>
    <w:rsid w:val="71BF7620"/>
    <w:rsid w:val="71FF05C0"/>
    <w:rsid w:val="723D2D95"/>
    <w:rsid w:val="72972F57"/>
    <w:rsid w:val="72B75934"/>
    <w:rsid w:val="72C35F13"/>
    <w:rsid w:val="746D16B6"/>
    <w:rsid w:val="74AE3431"/>
    <w:rsid w:val="75B23A9A"/>
    <w:rsid w:val="75C31803"/>
    <w:rsid w:val="764D37C3"/>
    <w:rsid w:val="76771281"/>
    <w:rsid w:val="774E7117"/>
    <w:rsid w:val="7772528F"/>
    <w:rsid w:val="77E872FF"/>
    <w:rsid w:val="7A3E31DC"/>
    <w:rsid w:val="7AA67374"/>
    <w:rsid w:val="7AE1294E"/>
    <w:rsid w:val="7B293BEB"/>
    <w:rsid w:val="7B397723"/>
    <w:rsid w:val="7BA15F11"/>
    <w:rsid w:val="7C127041"/>
    <w:rsid w:val="7C127147"/>
    <w:rsid w:val="7C1B0AB8"/>
    <w:rsid w:val="7C2B0C61"/>
    <w:rsid w:val="7C37006A"/>
    <w:rsid w:val="7C4618BD"/>
    <w:rsid w:val="7C4B4301"/>
    <w:rsid w:val="7CAA54CB"/>
    <w:rsid w:val="7D480F11"/>
    <w:rsid w:val="7D732649"/>
    <w:rsid w:val="7D974B80"/>
    <w:rsid w:val="7DD41A84"/>
    <w:rsid w:val="7E151AF0"/>
    <w:rsid w:val="7EB80BC2"/>
    <w:rsid w:val="7F160AD5"/>
    <w:rsid w:val="7F573B33"/>
    <w:rsid w:val="7F6C0C97"/>
    <w:rsid w:val="7F8E1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autoRedefine/>
    <w:unhideWhenUsed/>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autoRedefine/>
    <w:semiHidden/>
    <w:unhideWhenUsed/>
    <w:qFormat/>
    <w:uiPriority w:val="99"/>
    <w:pPr>
      <w:jc w:val="left"/>
    </w:pPr>
  </w:style>
  <w:style w:type="paragraph" w:styleId="6">
    <w:name w:val="Body Text"/>
    <w:basedOn w:val="1"/>
    <w:autoRedefine/>
    <w:qFormat/>
    <w:uiPriority w:val="99"/>
    <w:pPr>
      <w:kinsoku w:val="0"/>
      <w:autoSpaceDE w:val="0"/>
      <w:autoSpaceDN w:val="0"/>
      <w:adjustRightInd w:val="0"/>
      <w:snapToGrid w:val="0"/>
      <w:spacing w:after="120" w:line="240" w:lineRule="auto"/>
      <w:jc w:val="left"/>
      <w:textAlignment w:val="baseline"/>
    </w:pPr>
    <w:rPr>
      <w:rFonts w:ascii="Arial" w:hAnsi="Arial" w:eastAsia="Arial" w:cs="Arial"/>
      <w:snapToGrid w:val="0"/>
      <w:color w:val="000000"/>
      <w:kern w:val="0"/>
      <w:sz w:val="21"/>
      <w:szCs w:val="21"/>
    </w:rPr>
  </w:style>
  <w:style w:type="paragraph" w:styleId="7">
    <w:name w:val="footer"/>
    <w:basedOn w:val="1"/>
    <w:link w:val="22"/>
    <w:autoRedefine/>
    <w:unhideWhenUsed/>
    <w:qFormat/>
    <w:uiPriority w:val="99"/>
    <w:pPr>
      <w:tabs>
        <w:tab w:val="center" w:pos="4153"/>
        <w:tab w:val="right" w:pos="8306"/>
      </w:tabs>
      <w:snapToGrid w:val="0"/>
      <w:jc w:val="left"/>
    </w:pPr>
    <w:rPr>
      <w:sz w:val="18"/>
      <w:szCs w:val="18"/>
    </w:rPr>
  </w:style>
  <w:style w:type="paragraph" w:styleId="8">
    <w:name w:val="header"/>
    <w:basedOn w:val="1"/>
    <w:link w:val="2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unhideWhenUsed/>
    <w:qFormat/>
    <w:uiPriority w:val="39"/>
    <w:pPr>
      <w:tabs>
        <w:tab w:val="left" w:pos="840"/>
        <w:tab w:val="right" w:leader="dot" w:pos="8296"/>
      </w:tabs>
      <w:spacing w:line="360" w:lineRule="auto"/>
    </w:pPr>
    <w:rPr>
      <w:rFonts w:ascii="Times New Roman" w:hAnsi="Times New Roman" w:eastAsia="宋体" w:cs="Times New Roman"/>
      <w:b/>
      <w:bCs/>
    </w:rPr>
  </w:style>
  <w:style w:type="paragraph" w:styleId="10">
    <w:name w:val="toc 2"/>
    <w:basedOn w:val="1"/>
    <w:next w:val="1"/>
    <w:autoRedefine/>
    <w:unhideWhenUsed/>
    <w:qFormat/>
    <w:uiPriority w:val="39"/>
    <w:pPr>
      <w:ind w:left="420" w:leftChars="200"/>
    </w:pPr>
  </w:style>
  <w:style w:type="paragraph" w:styleId="11">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3">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mphasis"/>
    <w:basedOn w:val="14"/>
    <w:qFormat/>
    <w:uiPriority w:val="20"/>
    <w:rPr>
      <w:i/>
    </w:rPr>
  </w:style>
  <w:style w:type="character" w:styleId="16">
    <w:name w:val="Hyperlink"/>
    <w:basedOn w:val="14"/>
    <w:autoRedefine/>
    <w:unhideWhenUsed/>
    <w:qFormat/>
    <w:uiPriority w:val="99"/>
    <w:rPr>
      <w:color w:val="0563C1" w:themeColor="hyperlink"/>
      <w:u w:val="single"/>
      <w14:textFill>
        <w14:solidFill>
          <w14:schemeClr w14:val="hlink"/>
        </w14:solidFill>
      </w14:textFill>
    </w:rPr>
  </w:style>
  <w:style w:type="paragraph" w:styleId="17">
    <w:name w:val="List Paragraph"/>
    <w:basedOn w:val="1"/>
    <w:autoRedefine/>
    <w:qFormat/>
    <w:uiPriority w:val="34"/>
    <w:pPr>
      <w:ind w:firstLine="420" w:firstLineChars="200"/>
    </w:pPr>
  </w:style>
  <w:style w:type="character" w:customStyle="1" w:styleId="18">
    <w:name w:val="标题 1 字符"/>
    <w:basedOn w:val="14"/>
    <w:link w:val="2"/>
    <w:autoRedefine/>
    <w:qFormat/>
    <w:uiPriority w:val="9"/>
    <w:rPr>
      <w:b/>
      <w:bCs/>
      <w:kern w:val="44"/>
      <w:sz w:val="44"/>
      <w:szCs w:val="44"/>
    </w:rPr>
  </w:style>
  <w:style w:type="character" w:customStyle="1" w:styleId="19">
    <w:name w:val="标题 2 字符"/>
    <w:basedOn w:val="14"/>
    <w:link w:val="3"/>
    <w:autoRedefine/>
    <w:qFormat/>
    <w:uiPriority w:val="9"/>
    <w:rPr>
      <w:rFonts w:asciiTheme="majorHAnsi" w:hAnsiTheme="majorHAnsi" w:eastAsiaTheme="majorEastAsia" w:cstheme="majorBidi"/>
      <w:b/>
      <w:bCs/>
      <w:sz w:val="32"/>
      <w:szCs w:val="32"/>
    </w:rPr>
  </w:style>
  <w:style w:type="paragraph" w:customStyle="1" w:styleId="20">
    <w:name w:val="TOC Heading"/>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1">
    <w:name w:val="页眉 字符"/>
    <w:basedOn w:val="14"/>
    <w:link w:val="8"/>
    <w:autoRedefine/>
    <w:qFormat/>
    <w:uiPriority w:val="99"/>
    <w:rPr>
      <w:sz w:val="18"/>
      <w:szCs w:val="18"/>
    </w:rPr>
  </w:style>
  <w:style w:type="character" w:customStyle="1" w:styleId="22">
    <w:name w:val="页脚 字符"/>
    <w:basedOn w:val="14"/>
    <w:link w:val="7"/>
    <w:autoRedefine/>
    <w:qFormat/>
    <w:uiPriority w:val="99"/>
    <w:rPr>
      <w:sz w:val="18"/>
      <w:szCs w:val="18"/>
    </w:rPr>
  </w:style>
  <w:style w:type="table" w:customStyle="1" w:styleId="23">
    <w:name w:val="Table Normal"/>
    <w:autoRedefine/>
    <w:semiHidden/>
    <w:unhideWhenUsed/>
    <w:qFormat/>
    <w:uiPriority w:val="0"/>
    <w:tblPr>
      <w:tblCellMar>
        <w:top w:w="0" w:type="dxa"/>
        <w:left w:w="0" w:type="dxa"/>
        <w:bottom w:w="0" w:type="dxa"/>
        <w:right w:w="0" w:type="dxa"/>
      </w:tblCellMar>
    </w:tblPr>
  </w:style>
  <w:style w:type="paragraph" w:customStyle="1" w:styleId="24">
    <w:name w:val="Table Text"/>
    <w:basedOn w:val="1"/>
    <w:autoRedefine/>
    <w:semiHidden/>
    <w:qFormat/>
    <w:uiPriority w:val="0"/>
    <w:rPr>
      <w:rFonts w:ascii="宋体" w:hAnsi="宋体" w:eastAsia="宋体" w:cs="宋体"/>
      <w:sz w:val="24"/>
      <w:szCs w:val="24"/>
      <w:lang w:val="en-US" w:eastAsia="en-US" w:bidi="ar-SA"/>
    </w:rPr>
  </w:style>
  <w:style w:type="character" w:customStyle="1" w:styleId="25">
    <w:name w:val="表头 Char Char Char"/>
    <w:autoRedefine/>
    <w:qFormat/>
    <w:uiPriority w:val="99"/>
    <w:rPr>
      <w:rFonts w:hAnsi="Calibri" w:eastAsia="宋体"/>
      <w:b/>
      <w:sz w:val="20"/>
    </w:rPr>
  </w:style>
  <w:style w:type="character" w:customStyle="1" w:styleId="26">
    <w:name w:val="font41"/>
    <w:basedOn w:val="14"/>
    <w:autoRedefine/>
    <w:qFormat/>
    <w:uiPriority w:val="0"/>
    <w:rPr>
      <w:rFonts w:ascii="TimesNewRomanPS-BoldMT" w:hAnsi="TimesNewRomanPS-BoldMT" w:eastAsia="TimesNewRomanPS-BoldMT" w:cs="TimesNewRomanPS-BoldMT"/>
      <w:b/>
      <w:bCs/>
      <w:color w:val="000000"/>
      <w:sz w:val="21"/>
      <w:szCs w:val="21"/>
      <w:u w:val="none"/>
    </w:rPr>
  </w:style>
  <w:style w:type="character" w:customStyle="1" w:styleId="27">
    <w:name w:val="font51"/>
    <w:basedOn w:val="14"/>
    <w:autoRedefine/>
    <w:qFormat/>
    <w:uiPriority w:val="0"/>
    <w:rPr>
      <w:rFonts w:hint="default" w:ascii="TimesNewRomanPS-BoldMT" w:hAnsi="TimesNewRomanPS-BoldMT" w:eastAsia="TimesNewRomanPS-BoldMT" w:cs="TimesNewRomanPS-BoldMT"/>
      <w:b/>
      <w:bCs/>
      <w:color w:val="000000"/>
      <w:sz w:val="14"/>
      <w:szCs w:val="14"/>
      <w:u w:val="none"/>
    </w:rPr>
  </w:style>
  <w:style w:type="character" w:customStyle="1" w:styleId="28">
    <w:name w:val="font11"/>
    <w:basedOn w:val="14"/>
    <w:autoRedefine/>
    <w:qFormat/>
    <w:uiPriority w:val="0"/>
    <w:rPr>
      <w:rFonts w:hint="eastAsia" w:ascii="宋体" w:hAnsi="宋体" w:eastAsia="宋体" w:cs="宋体"/>
      <w:b/>
      <w:bCs/>
      <w:color w:val="000000"/>
      <w:sz w:val="21"/>
      <w:szCs w:val="21"/>
      <w:u w:val="none"/>
    </w:rPr>
  </w:style>
  <w:style w:type="character" w:customStyle="1" w:styleId="29">
    <w:name w:val="font21"/>
    <w:basedOn w:val="14"/>
    <w:qFormat/>
    <w:uiPriority w:val="0"/>
    <w:rPr>
      <w:rFonts w:hint="eastAsia" w:ascii="宋体" w:hAnsi="宋体" w:eastAsia="宋体" w:cs="宋体"/>
      <w:color w:val="000000"/>
      <w:sz w:val="24"/>
      <w:szCs w:val="24"/>
      <w:u w:val="none"/>
    </w:rPr>
  </w:style>
  <w:style w:type="character" w:customStyle="1" w:styleId="30">
    <w:name w:val="font01"/>
    <w:basedOn w:val="1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AA6216-70FC-46A5-BB16-0FF169268169}">
  <ds:schemaRefs/>
</ds:datastoreItem>
</file>

<file path=docProps/app.xml><?xml version="1.0" encoding="utf-8"?>
<Properties xmlns="http://schemas.openxmlformats.org/officeDocument/2006/extended-properties" xmlns:vt="http://schemas.openxmlformats.org/officeDocument/2006/docPropsVTypes">
  <Template>Normal</Template>
  <Pages>134</Pages>
  <Words>50391</Words>
  <Characters>67716</Characters>
  <Lines>189</Lines>
  <Paragraphs>53</Paragraphs>
  <TotalTime>11</TotalTime>
  <ScaleCrop>false</ScaleCrop>
  <LinksUpToDate>false</LinksUpToDate>
  <CharactersWithSpaces>68169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2024-01-10T00:55:00Z</dcterms:created>
  <dc:creator>admin</dc:creator>
  <cp:lastModifiedBy>赵恒</cp:lastModifiedBy>
  <dcterms:modified xsi:type="dcterms:W3CDTF">2024-05-29T08:25:05Z</dcterms:modified>
  <cp:revision>292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BDEF7FE90867482E8702B75E65261F6E_12</vt:lpwstr>
  </property>
</Properties>
</file>