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line="560" w:lineRule="exact"/>
        <w:jc w:val="center"/>
        <w:rPr>
          <w:rFonts w:ascii="宋体" w:hAnsi="宋体" w:cs="宋体"/>
          <w:b/>
          <w:sz w:val="36"/>
          <w:szCs w:val="36"/>
        </w:rPr>
      </w:pPr>
      <w:r>
        <w:rPr>
          <w:rFonts w:hint="eastAsia" w:ascii="宋体" w:hAnsi="宋体" w:cs="宋体"/>
          <w:b/>
          <w:sz w:val="36"/>
          <w:szCs w:val="36"/>
        </w:rPr>
        <w:t>2022年度岳阳市自然资源和规划局整体支出</w:t>
      </w:r>
    </w:p>
    <w:p>
      <w:pPr>
        <w:spacing w:beforeLines="100" w:afterLines="100" w:line="560" w:lineRule="exact"/>
        <w:jc w:val="center"/>
        <w:rPr>
          <w:rFonts w:ascii="黑体" w:hAnsi="黑体" w:eastAsia="黑体" w:cs="黑体"/>
          <w:b/>
          <w:sz w:val="28"/>
          <w:szCs w:val="28"/>
        </w:rPr>
      </w:pPr>
      <w:r>
        <w:rPr>
          <w:rFonts w:hint="eastAsia" w:ascii="宋体" w:hAnsi="宋体" w:cs="宋体"/>
          <w:b/>
          <w:sz w:val="48"/>
          <w:szCs w:val="48"/>
        </w:rPr>
        <w:t>绩效评价自评报告</w:t>
      </w:r>
    </w:p>
    <w:p>
      <w:pPr>
        <w:spacing w:before="146" w:line="360" w:lineRule="auto"/>
        <w:ind w:firstLine="420" w:firstLineChars="15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根据岳阳市财政局《</w:t>
      </w:r>
      <w:r>
        <w:rPr>
          <w:rFonts w:asciiTheme="minorEastAsia" w:hAnsiTheme="minorEastAsia" w:eastAsiaTheme="minorEastAsia" w:cstheme="minorEastAsia"/>
          <w:bCs/>
          <w:sz w:val="28"/>
          <w:szCs w:val="28"/>
        </w:rPr>
        <w:t>关于开展2022年度市级预算支出绩效自评工作的通知</w:t>
      </w:r>
      <w:r>
        <w:rPr>
          <w:rFonts w:hint="eastAsia" w:asciiTheme="minorEastAsia" w:hAnsiTheme="minorEastAsia" w:eastAsiaTheme="minorEastAsia" w:cstheme="minorEastAsia"/>
          <w:bCs/>
          <w:sz w:val="28"/>
          <w:szCs w:val="28"/>
        </w:rPr>
        <w:t>》的要求，岳阳市自然资源和规划局成立了绩效自评小组，对2022年度岳阳市自然资源和规划局局机关（以下简称：局机关）整体支出情况进行了自评。现将自评情况报告如下。</w:t>
      </w:r>
    </w:p>
    <w:p>
      <w:pPr>
        <w:spacing w:line="520" w:lineRule="exact"/>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一、基本情况</w:t>
      </w:r>
    </w:p>
    <w:p>
      <w:pPr>
        <w:spacing w:line="520" w:lineRule="exact"/>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（一）基本情况</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岳阳市自然资源和规划局（以下简称“市自然资源和规划局”）于2019年3月4日挂牌成立，属全额预算拨款的正处级行政单位。局下设办公室、自然资源调查监测科、国土空间生态修复科等21个职能科室，纳入财政预算的二级机构为3个，分别为：岳阳市自然资源和规划局行政执法支队、岳阳市自然资源和规划局不动产登记中心、岳阳市自然资源和规划局事务中心。</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根据“三定方案”，市自然资源和规划局局机关（以下简称“局机关”）人员编制数65人（局机关行政编制61人、事业编制4人）,2022年实有在岗人员88人(含从二级机构借调人员)。</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岳阳市自然资源和规划局及二级机构等全部分开独立核算。按市财政局工作规定,由主管单位对其实施绩效考评,所以本次重点对局机关部门整体支出预算绩效进行自评。</w:t>
      </w:r>
    </w:p>
    <w:p>
      <w:pPr>
        <w:numPr>
          <w:ilvl w:val="0"/>
          <w:numId w:val="1"/>
        </w:numPr>
        <w:spacing w:line="520" w:lineRule="exac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主要职能职责</w:t>
      </w:r>
    </w:p>
    <w:p>
      <w:pPr>
        <w:pStyle w:val="2"/>
        <w:spacing w:after="0"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1、依法履行全民所有土地、矿产、森林、草原、湿地、水等自然资源资产所有者职责和国土空间用途管制职责。</w:t>
      </w:r>
    </w:p>
    <w:p>
      <w:pPr>
        <w:pStyle w:val="2"/>
        <w:spacing w:after="0"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2、负责自然资源调查监测评价。</w:t>
      </w:r>
    </w:p>
    <w:p>
      <w:pPr>
        <w:pStyle w:val="2"/>
        <w:spacing w:after="0"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3、负责自然资源统一确权登记工作。</w:t>
      </w:r>
    </w:p>
    <w:p>
      <w:pPr>
        <w:pStyle w:val="2"/>
        <w:spacing w:after="0"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4、负责自然资源资产有偿使用工作。</w:t>
      </w:r>
    </w:p>
    <w:p>
      <w:pPr>
        <w:pStyle w:val="2"/>
        <w:spacing w:after="0"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5、负责自然资源的合理开发利用。</w:t>
      </w:r>
    </w:p>
    <w:p>
      <w:pPr>
        <w:pStyle w:val="2"/>
        <w:spacing w:after="0"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6、负责建立国土空间规划体系并监督实施。</w:t>
      </w:r>
    </w:p>
    <w:p>
      <w:pPr>
        <w:pStyle w:val="2"/>
        <w:spacing w:after="0"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7、负责制定国土空间规划编制计划和近期建设规划，制定土地利用及储备供应、矿产资源保护利用、基础测绘、新增建设用地等年度计划，并组织实施；参与城市发展年度建设计划及实施工作。</w:t>
      </w:r>
    </w:p>
    <w:p>
      <w:pPr>
        <w:pStyle w:val="2"/>
        <w:spacing w:after="0"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8、负责统筹国土空间生态修复。牵头组织编制国土空间生态修复规划并实施有关生态修复重大工程。牵头建立和实施生态保护补偿制度，并提出市级重大备选项目。</w:t>
      </w:r>
    </w:p>
    <w:p>
      <w:pPr>
        <w:pStyle w:val="2"/>
        <w:spacing w:after="0"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9、负责组织实施最严格的耕地保护制度。牵头实施耕地保护政策，负责耕地数量和生态保护，做好耕地质量保护有关工作。</w:t>
      </w:r>
    </w:p>
    <w:p>
      <w:pPr>
        <w:pStyle w:val="2"/>
        <w:spacing w:after="0"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10、负责管理地质勘查行业和全市地质工作。</w:t>
      </w:r>
    </w:p>
    <w:p>
      <w:pPr>
        <w:pStyle w:val="2"/>
        <w:spacing w:after="0"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11、负责地质灾害预防和治理。</w:t>
      </w:r>
    </w:p>
    <w:p>
      <w:pPr>
        <w:pStyle w:val="2"/>
        <w:spacing w:after="0"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12、负责矿产资源管理工作。</w:t>
      </w:r>
    </w:p>
    <w:p>
      <w:pPr>
        <w:pStyle w:val="2"/>
        <w:spacing w:after="0"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13、推动自然资源领域科技发展。</w:t>
      </w:r>
    </w:p>
    <w:p>
      <w:pPr>
        <w:pStyle w:val="2"/>
        <w:spacing w:after="0"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14、负责测绘地理信息管理工作。</w:t>
      </w:r>
    </w:p>
    <w:p>
      <w:pPr>
        <w:pStyle w:val="2"/>
        <w:spacing w:after="0"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15、根据授权，对市以下各级政府及相关部门落实市委、市政府关于自然资源、国土空间规划重大政策、决策部署及法规规章执行情况进行督察。依法查处自然资源开发利用、国土空间规划及测绘领域违法案件。负责涉及自然资源和规划管理事项的信访处理、行政复议、行政诉讼等工作。</w:t>
      </w:r>
    </w:p>
    <w:p>
      <w:pPr>
        <w:pStyle w:val="2"/>
        <w:spacing w:after="0"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16、完成市委、市政府交办的其他事项。</w:t>
      </w:r>
    </w:p>
    <w:p>
      <w:pPr>
        <w:pStyle w:val="2"/>
        <w:numPr>
          <w:ilvl w:val="0"/>
          <w:numId w:val="1"/>
        </w:numPr>
        <w:spacing w:line="52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重点工作计划</w:t>
      </w:r>
    </w:p>
    <w:p>
      <w:pPr>
        <w:pStyle w:val="2"/>
        <w:spacing w:after="0"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根据《2021年全市自然资源和规划总结报告及2022年工作计划》，2022年重点工作安排如下：</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强化国土空间规划支撑，构建国土空间规划体系。一是编制实施全市国土空间总体规划、各类专项规划，整体谋划国土空间保护、开发、利用和修复，推动形成高质量发展的国土空间布局。二是落实乡村振兴政策保障，以村庄规划助推乡村振兴，稳步有序推进“多规合一”实用型村庄规划编制。</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严守耕地保护红线，遏制耕地“非农化”“非粮化”。一是落实最严格的耕地保护制度，探索耕地全程一体化保护，，二是健全新增耕地监管机制，对土地开发、增减挂钩、土地综合整治、高标准农田建设等所有新增耕地项目立项和指标确认严格把关，三是全面落实“耕地占补平衡”，严格控制建设占用耕地，对耕地实行特殊保护和用途管制。</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强化节约集约利用，精准配置资源要素。全力服务保障省市重点建设项目合理用地需求，优先保障重大基础设施、重点民生实事和重大产业项目顺利落地。深入推进土地全生命周期管理，科学制定储备计划，调优储备机制，抓实土地依法征收清零，落实“限期供地”“净地出让”“弹性供地”政策，服务项目落地。落实最严格的节约集约用地制度，加强闲置土地处置力度，促进批而未用土地有效利用，盘活存量土地，提高利用效率。</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4.聚焦群众“急难愁盼”，着力优化营商环境。深入推进“一网通办，一件事一次办”“最多跑一次”改革。全面实施“交房即交证”“交地即交证”改革。加快不动产登记便利化建设，推动“互联网+不动产登记”向更高层级发展。深化建设工程审批制度改革，实施全流程再造，精简审批环节，加快推进“拿地即开工”改革试点、全面提升企业和群众的满意度、获得感。</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5.加强生态保护修复，不断深化生态治理。健全生态保护修复制度体系，编制国土空间生态保护修复规划，有序推进山水林田湖草沙一体化保护和修复工程项目。推进历史遗留废弃矿山生态修复，采取地质环境治理、土地综合整治、生态修复治理等综合手段,最大限度减少裸露地面,增加绿化面积,减少和抑制矿山扬尘。</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6.推动矿业转型发展，加快建设绿色矿山。加强绿色矿山建设，全面实行采矿权出让“双把关”制，对未按规定时限达到绿色矿山标准的，一律不予延续登记。</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7.增强地灾防治能力，保障人民群众安全。坚持人民至上、生命至上，加快推进地质灾害防治“两库两预警两提升”工程，强化地质灾害人防技防，认真落实群测群防、巡查排查、值班值守等制度，保障人民群众生命财产安全。</w:t>
      </w:r>
    </w:p>
    <w:p>
      <w:pPr>
        <w:pStyle w:val="4"/>
        <w:spacing w:line="520" w:lineRule="exact"/>
        <w:ind w:left="0" w:leftChars="0"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二、年度绩效目标完成情况</w:t>
      </w:r>
    </w:p>
    <w:p>
      <w:pPr>
        <w:spacing w:line="360" w:lineRule="auto"/>
        <w:ind w:firstLine="281" w:firstLineChars="1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（一）年度绩效目标</w:t>
      </w:r>
    </w:p>
    <w:p>
      <w:pPr>
        <w:spacing w:line="360" w:lineRule="auto"/>
        <w:ind w:firstLine="562"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1、产出数量 （定量、定性指标）</w:t>
      </w:r>
    </w:p>
    <w:p>
      <w:pPr>
        <w:autoSpaceDN w:val="0"/>
        <w:spacing w:line="360" w:lineRule="auto"/>
        <w:ind w:firstLine="560" w:firstLineChars="200"/>
        <w:jc w:val="left"/>
        <w:textAlignment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（1）统筹国土空间总体规划编制</w:t>
      </w:r>
    </w:p>
    <w:p>
      <w:pPr>
        <w:autoSpaceDN w:val="0"/>
        <w:spacing w:line="360" w:lineRule="auto"/>
        <w:ind w:firstLine="560" w:firstLineChars="200"/>
        <w:jc w:val="left"/>
        <w:textAlignment w:val="center"/>
        <w:rPr>
          <w:rFonts w:asciiTheme="minorEastAsia" w:hAnsiTheme="minorEastAsia" w:eastAsiaTheme="minorEastAsia" w:cstheme="minorEastAsia"/>
          <w:color w:val="000000"/>
          <w:sz w:val="28"/>
          <w:szCs w:val="28"/>
        </w:rPr>
      </w:pPr>
      <w:r>
        <w:rPr>
          <w:rFonts w:asciiTheme="minorEastAsia" w:hAnsiTheme="minorEastAsia" w:eastAsiaTheme="minorEastAsia" w:cstheme="minorEastAsia"/>
          <w:color w:val="000000"/>
          <w:sz w:val="28"/>
          <w:szCs w:val="28"/>
        </w:rPr>
        <w:fldChar w:fldCharType="begin"/>
      </w:r>
      <w:r>
        <w:rPr>
          <w:rFonts w:asciiTheme="minorEastAsia" w:hAnsiTheme="minorEastAsia" w:eastAsiaTheme="minorEastAsia" w:cstheme="minorEastAsia"/>
          <w:color w:val="000000"/>
          <w:sz w:val="28"/>
          <w:szCs w:val="28"/>
        </w:rPr>
        <w:instrText xml:space="preserve"> </w:instrText>
      </w:r>
      <w:r>
        <w:rPr>
          <w:rFonts w:hint="eastAsia" w:asciiTheme="minorEastAsia" w:hAnsiTheme="minorEastAsia" w:eastAsiaTheme="minorEastAsia" w:cstheme="minorEastAsia"/>
          <w:color w:val="000000"/>
          <w:sz w:val="28"/>
          <w:szCs w:val="28"/>
        </w:rPr>
        <w:instrText xml:space="preserve">= 1 \* GB3</w:instrText>
      </w:r>
      <w:r>
        <w:rPr>
          <w:rFonts w:asciiTheme="minorEastAsia" w:hAnsiTheme="minorEastAsia" w:eastAsiaTheme="minorEastAsia" w:cstheme="minorEastAsia"/>
          <w:color w:val="000000"/>
          <w:sz w:val="28"/>
          <w:szCs w:val="28"/>
        </w:rPr>
        <w:instrText xml:space="preserve"> </w:instrText>
      </w:r>
      <w:r>
        <w:rPr>
          <w:rFonts w:asciiTheme="minorEastAsia" w:hAnsiTheme="minorEastAsia" w:eastAsiaTheme="minorEastAsia" w:cstheme="minorEastAsia"/>
          <w:color w:val="000000"/>
          <w:sz w:val="28"/>
          <w:szCs w:val="28"/>
        </w:rPr>
        <w:fldChar w:fldCharType="separate"/>
      </w:r>
      <w:r>
        <w:rPr>
          <w:rFonts w:hint="eastAsia" w:asciiTheme="minorEastAsia" w:hAnsiTheme="minorEastAsia" w:eastAsiaTheme="minorEastAsia" w:cstheme="minorEastAsia"/>
          <w:color w:val="000000"/>
          <w:sz w:val="28"/>
          <w:szCs w:val="28"/>
        </w:rPr>
        <w:t>①</w:t>
      </w:r>
      <w:r>
        <w:rPr>
          <w:rFonts w:asciiTheme="minorEastAsia" w:hAnsiTheme="minorEastAsia" w:eastAsiaTheme="minorEastAsia" w:cstheme="minorEastAsia"/>
          <w:color w:val="000000"/>
          <w:sz w:val="28"/>
          <w:szCs w:val="28"/>
        </w:rPr>
        <w:fldChar w:fldCharType="end"/>
      </w:r>
      <w:r>
        <w:rPr>
          <w:rFonts w:hint="eastAsia" w:asciiTheme="minorEastAsia" w:hAnsiTheme="minorEastAsia" w:eastAsiaTheme="minorEastAsia" w:cstheme="minorEastAsia"/>
          <w:color w:val="000000"/>
          <w:sz w:val="28"/>
          <w:szCs w:val="28"/>
        </w:rPr>
        <w:t>建立了1套主体成果、1个信息平台、5个专项规划、10个专题报告的“1+1+5+10”规划成果体系；制定</w:t>
      </w:r>
      <w:r>
        <w:rPr>
          <w:rFonts w:asciiTheme="minorEastAsia" w:hAnsiTheme="minorEastAsia" w:eastAsiaTheme="minorEastAsia" w:cstheme="minorEastAsia"/>
          <w:color w:val="000000"/>
          <w:sz w:val="28"/>
          <w:szCs w:val="28"/>
        </w:rPr>
        <w:t>《岳阳市开展“三区三线”划定工作方案》</w:t>
      </w:r>
      <w:r>
        <w:rPr>
          <w:rFonts w:hint="eastAsia" w:asciiTheme="minorEastAsia" w:hAnsiTheme="minorEastAsia" w:eastAsiaTheme="minorEastAsia" w:cstheme="minorEastAsia"/>
          <w:color w:val="000000"/>
          <w:sz w:val="28"/>
          <w:szCs w:val="28"/>
        </w:rPr>
        <w:t>，主要领导亲自牵头组成划定专班，研读规则、研析现状、预判发展趋势；</w:t>
      </w:r>
    </w:p>
    <w:p>
      <w:pPr>
        <w:autoSpaceDN w:val="0"/>
        <w:spacing w:line="360" w:lineRule="auto"/>
        <w:ind w:firstLine="560" w:firstLineChars="200"/>
        <w:jc w:val="left"/>
        <w:textAlignment w:val="center"/>
        <w:rPr>
          <w:rFonts w:asciiTheme="minorEastAsia" w:hAnsiTheme="minorEastAsia" w:eastAsiaTheme="minorEastAsia" w:cstheme="minorEastAsia"/>
          <w:color w:val="000000"/>
          <w:sz w:val="28"/>
          <w:szCs w:val="28"/>
        </w:rPr>
      </w:pPr>
      <w:r>
        <w:rPr>
          <w:rFonts w:asciiTheme="minorEastAsia" w:hAnsiTheme="minorEastAsia" w:eastAsiaTheme="minorEastAsia" w:cstheme="minorEastAsia"/>
          <w:color w:val="000000"/>
          <w:sz w:val="28"/>
          <w:szCs w:val="28"/>
        </w:rPr>
        <w:fldChar w:fldCharType="begin"/>
      </w:r>
      <w:r>
        <w:rPr>
          <w:rFonts w:asciiTheme="minorEastAsia" w:hAnsiTheme="minorEastAsia" w:eastAsiaTheme="minorEastAsia" w:cstheme="minorEastAsia"/>
          <w:color w:val="000000"/>
          <w:sz w:val="28"/>
          <w:szCs w:val="28"/>
        </w:rPr>
        <w:instrText xml:space="preserve"> </w:instrText>
      </w:r>
      <w:r>
        <w:rPr>
          <w:rFonts w:hint="eastAsia" w:asciiTheme="minorEastAsia" w:hAnsiTheme="minorEastAsia" w:eastAsiaTheme="minorEastAsia" w:cstheme="minorEastAsia"/>
          <w:color w:val="000000"/>
          <w:sz w:val="28"/>
          <w:szCs w:val="28"/>
        </w:rPr>
        <w:instrText xml:space="preserve">= 2 \* GB3</w:instrText>
      </w:r>
      <w:r>
        <w:rPr>
          <w:rFonts w:asciiTheme="minorEastAsia" w:hAnsiTheme="minorEastAsia" w:eastAsiaTheme="minorEastAsia" w:cstheme="minorEastAsia"/>
          <w:color w:val="000000"/>
          <w:sz w:val="28"/>
          <w:szCs w:val="28"/>
        </w:rPr>
        <w:instrText xml:space="preserve"> </w:instrText>
      </w:r>
      <w:r>
        <w:rPr>
          <w:rFonts w:asciiTheme="minorEastAsia" w:hAnsiTheme="minorEastAsia" w:eastAsiaTheme="minorEastAsia" w:cstheme="minorEastAsia"/>
          <w:color w:val="000000"/>
          <w:sz w:val="28"/>
          <w:szCs w:val="28"/>
        </w:rPr>
        <w:fldChar w:fldCharType="separate"/>
      </w:r>
      <w:r>
        <w:rPr>
          <w:rFonts w:hint="eastAsia" w:asciiTheme="minorEastAsia" w:hAnsiTheme="minorEastAsia" w:eastAsiaTheme="minorEastAsia" w:cstheme="minorEastAsia"/>
          <w:color w:val="000000"/>
          <w:sz w:val="28"/>
          <w:szCs w:val="28"/>
        </w:rPr>
        <w:t>②</w:t>
      </w:r>
      <w:r>
        <w:rPr>
          <w:rFonts w:asciiTheme="minorEastAsia" w:hAnsiTheme="minorEastAsia" w:eastAsiaTheme="minorEastAsia" w:cstheme="minorEastAsia"/>
          <w:color w:val="000000"/>
          <w:sz w:val="28"/>
          <w:szCs w:val="28"/>
        </w:rPr>
        <w:fldChar w:fldCharType="end"/>
      </w:r>
      <w:r>
        <w:rPr>
          <w:rFonts w:hint="eastAsia" w:asciiTheme="minorEastAsia" w:hAnsiTheme="minorEastAsia" w:eastAsiaTheme="minorEastAsia" w:cstheme="minorEastAsia"/>
          <w:color w:val="000000"/>
          <w:sz w:val="28"/>
          <w:szCs w:val="28"/>
        </w:rPr>
        <w:t>牵头编制了41个片区控规305平方公里，其中已报市政府批准实施20片，已报经市规委会审查通过16片，剩余5片正在组织编制规划方案，同时强化国土空间规划管控，出台《关于开展城镇开发边界内控制性详细规划实施评估工作的实施方案》。</w:t>
      </w:r>
    </w:p>
    <w:p>
      <w:pPr>
        <w:autoSpaceDN w:val="0"/>
        <w:spacing w:line="360" w:lineRule="auto"/>
        <w:ind w:firstLine="560" w:firstLineChars="200"/>
        <w:jc w:val="left"/>
        <w:textAlignment w:val="center"/>
        <w:rPr>
          <w:rFonts w:asciiTheme="minorEastAsia" w:hAnsiTheme="minorEastAsia" w:eastAsiaTheme="minorEastAsia" w:cstheme="minorEastAsia"/>
          <w:color w:val="000000"/>
          <w:sz w:val="28"/>
          <w:szCs w:val="28"/>
        </w:rPr>
      </w:pPr>
      <w:r>
        <w:rPr>
          <w:rFonts w:asciiTheme="minorEastAsia" w:hAnsiTheme="minorEastAsia" w:eastAsiaTheme="minorEastAsia" w:cstheme="minorEastAsia"/>
          <w:color w:val="000000"/>
          <w:sz w:val="28"/>
          <w:szCs w:val="28"/>
        </w:rPr>
        <w:fldChar w:fldCharType="begin"/>
      </w:r>
      <w:r>
        <w:rPr>
          <w:rFonts w:asciiTheme="minorEastAsia" w:hAnsiTheme="minorEastAsia" w:eastAsiaTheme="minorEastAsia" w:cstheme="minorEastAsia"/>
          <w:color w:val="000000"/>
          <w:sz w:val="28"/>
          <w:szCs w:val="28"/>
        </w:rPr>
        <w:instrText xml:space="preserve"> </w:instrText>
      </w:r>
      <w:r>
        <w:rPr>
          <w:rFonts w:hint="eastAsia" w:asciiTheme="minorEastAsia" w:hAnsiTheme="minorEastAsia" w:eastAsiaTheme="minorEastAsia" w:cstheme="minorEastAsia"/>
          <w:color w:val="000000"/>
          <w:sz w:val="28"/>
          <w:szCs w:val="28"/>
        </w:rPr>
        <w:instrText xml:space="preserve">= 3 \* GB3</w:instrText>
      </w:r>
      <w:r>
        <w:rPr>
          <w:rFonts w:asciiTheme="minorEastAsia" w:hAnsiTheme="minorEastAsia" w:eastAsiaTheme="minorEastAsia" w:cstheme="minorEastAsia"/>
          <w:color w:val="000000"/>
          <w:sz w:val="28"/>
          <w:szCs w:val="28"/>
        </w:rPr>
        <w:instrText xml:space="preserve"> </w:instrText>
      </w:r>
      <w:r>
        <w:rPr>
          <w:rFonts w:asciiTheme="minorEastAsia" w:hAnsiTheme="minorEastAsia" w:eastAsiaTheme="minorEastAsia" w:cstheme="minorEastAsia"/>
          <w:color w:val="000000"/>
          <w:sz w:val="28"/>
          <w:szCs w:val="28"/>
        </w:rPr>
        <w:fldChar w:fldCharType="separate"/>
      </w:r>
      <w:r>
        <w:rPr>
          <w:rFonts w:hint="eastAsia" w:asciiTheme="minorEastAsia" w:hAnsiTheme="minorEastAsia" w:eastAsiaTheme="minorEastAsia" w:cstheme="minorEastAsia"/>
          <w:color w:val="000000"/>
          <w:sz w:val="28"/>
          <w:szCs w:val="28"/>
        </w:rPr>
        <w:t>③</w:t>
      </w:r>
      <w:r>
        <w:rPr>
          <w:rFonts w:asciiTheme="minorEastAsia" w:hAnsiTheme="minorEastAsia" w:eastAsiaTheme="minorEastAsia" w:cstheme="minorEastAsia"/>
          <w:color w:val="000000"/>
          <w:sz w:val="28"/>
          <w:szCs w:val="28"/>
        </w:rPr>
        <w:fldChar w:fldCharType="end"/>
      </w:r>
      <w:r>
        <w:rPr>
          <w:rFonts w:hint="eastAsia" w:asciiTheme="minorEastAsia" w:hAnsiTheme="minorEastAsia" w:eastAsiaTheme="minorEastAsia" w:cstheme="minorEastAsia"/>
          <w:color w:val="000000"/>
          <w:sz w:val="28"/>
          <w:szCs w:val="28"/>
        </w:rPr>
        <w:t>编制了500个村庄规划方案，在全省</w:t>
      </w:r>
      <w:r>
        <w:rPr>
          <w:rFonts w:asciiTheme="minorEastAsia" w:hAnsiTheme="minorEastAsia" w:eastAsiaTheme="minorEastAsia" w:cstheme="minorEastAsia"/>
          <w:color w:val="000000"/>
          <w:sz w:val="28"/>
          <w:szCs w:val="28"/>
        </w:rPr>
        <w:t>优秀国土空间规划设计和案例展评活动</w:t>
      </w:r>
      <w:r>
        <w:rPr>
          <w:rFonts w:hint="eastAsia" w:asciiTheme="minorEastAsia" w:hAnsiTheme="minorEastAsia" w:eastAsiaTheme="minorEastAsia" w:cstheme="minorEastAsia"/>
          <w:color w:val="000000"/>
          <w:sz w:val="28"/>
          <w:szCs w:val="28"/>
        </w:rPr>
        <w:t>中，我市获得一等奖3个、二等奖1个、优胜奖3个，其中岳阳县张谷英镇张谷英村村庄规划、临湘市江南镇洋溪村村庄规划同时获得省厅一等奖</w:t>
      </w:r>
    </w:p>
    <w:p>
      <w:pPr>
        <w:autoSpaceDN w:val="0"/>
        <w:spacing w:line="360" w:lineRule="auto"/>
        <w:ind w:firstLine="560" w:firstLineChars="200"/>
        <w:jc w:val="left"/>
        <w:textAlignment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（2）稳经济大盘，优化营商环境</w:t>
      </w:r>
    </w:p>
    <w:p>
      <w:pPr>
        <w:autoSpaceDN w:val="0"/>
        <w:spacing w:line="360" w:lineRule="auto"/>
        <w:ind w:firstLine="560" w:firstLineChars="200"/>
        <w:jc w:val="left"/>
        <w:textAlignment w:val="center"/>
        <w:rPr>
          <w:rFonts w:asciiTheme="minorEastAsia" w:hAnsiTheme="minorEastAsia" w:eastAsiaTheme="minorEastAsia" w:cstheme="minorEastAsia"/>
          <w:color w:val="000000"/>
          <w:sz w:val="28"/>
          <w:szCs w:val="28"/>
        </w:rPr>
      </w:pPr>
      <w:r>
        <w:rPr>
          <w:rFonts w:asciiTheme="minorEastAsia" w:hAnsiTheme="minorEastAsia" w:eastAsiaTheme="minorEastAsia" w:cstheme="minorEastAsia"/>
          <w:color w:val="000000"/>
          <w:sz w:val="28"/>
          <w:szCs w:val="28"/>
        </w:rPr>
        <w:fldChar w:fldCharType="begin"/>
      </w:r>
      <w:r>
        <w:rPr>
          <w:rFonts w:asciiTheme="minorEastAsia" w:hAnsiTheme="minorEastAsia" w:eastAsiaTheme="minorEastAsia" w:cstheme="minorEastAsia"/>
          <w:color w:val="000000"/>
          <w:sz w:val="28"/>
          <w:szCs w:val="28"/>
        </w:rPr>
        <w:instrText xml:space="preserve"> </w:instrText>
      </w:r>
      <w:r>
        <w:rPr>
          <w:rFonts w:hint="eastAsia" w:asciiTheme="minorEastAsia" w:hAnsiTheme="minorEastAsia" w:eastAsiaTheme="minorEastAsia" w:cstheme="minorEastAsia"/>
          <w:color w:val="000000"/>
          <w:sz w:val="28"/>
          <w:szCs w:val="28"/>
        </w:rPr>
        <w:instrText xml:space="preserve">= 1 \* GB3</w:instrText>
      </w:r>
      <w:r>
        <w:rPr>
          <w:rFonts w:asciiTheme="minorEastAsia" w:hAnsiTheme="minorEastAsia" w:eastAsiaTheme="minorEastAsia" w:cstheme="minorEastAsia"/>
          <w:color w:val="000000"/>
          <w:sz w:val="28"/>
          <w:szCs w:val="28"/>
        </w:rPr>
        <w:instrText xml:space="preserve"> </w:instrText>
      </w:r>
      <w:r>
        <w:rPr>
          <w:rFonts w:asciiTheme="minorEastAsia" w:hAnsiTheme="minorEastAsia" w:eastAsiaTheme="minorEastAsia" w:cstheme="minorEastAsia"/>
          <w:color w:val="000000"/>
          <w:sz w:val="28"/>
          <w:szCs w:val="28"/>
        </w:rPr>
        <w:fldChar w:fldCharType="separate"/>
      </w:r>
      <w:r>
        <w:rPr>
          <w:rFonts w:hint="eastAsia" w:asciiTheme="minorEastAsia" w:hAnsiTheme="minorEastAsia" w:eastAsiaTheme="minorEastAsia" w:cstheme="minorEastAsia"/>
          <w:color w:val="000000"/>
          <w:sz w:val="28"/>
          <w:szCs w:val="28"/>
        </w:rPr>
        <w:t>①</w:t>
      </w:r>
      <w:r>
        <w:rPr>
          <w:rFonts w:asciiTheme="minorEastAsia" w:hAnsiTheme="minorEastAsia" w:eastAsiaTheme="minorEastAsia" w:cstheme="minorEastAsia"/>
          <w:color w:val="000000"/>
          <w:sz w:val="28"/>
          <w:szCs w:val="28"/>
        </w:rPr>
        <w:fldChar w:fldCharType="end"/>
      </w:r>
      <w:r>
        <w:rPr>
          <w:rFonts w:hint="eastAsia" w:asciiTheme="minorEastAsia" w:hAnsiTheme="minorEastAsia" w:eastAsiaTheme="minorEastAsia" w:cstheme="minorEastAsia"/>
          <w:color w:val="000000"/>
          <w:sz w:val="28"/>
          <w:szCs w:val="28"/>
        </w:rPr>
        <w:t>特事特办，破解发展难题，2022年，全市报批建设用地项目152宗744.69公顷，其中市中心城区30宗189.67公顷；争资争项到位资金3943万元，完成比例排市直单位第一。</w:t>
      </w:r>
    </w:p>
    <w:p>
      <w:pPr>
        <w:autoSpaceDN w:val="0"/>
        <w:spacing w:line="360" w:lineRule="auto"/>
        <w:ind w:firstLine="560" w:firstLineChars="200"/>
        <w:jc w:val="left"/>
        <w:textAlignment w:val="center"/>
        <w:rPr>
          <w:rFonts w:asciiTheme="minorEastAsia" w:hAnsiTheme="minorEastAsia" w:eastAsiaTheme="minorEastAsia" w:cstheme="minorEastAsia"/>
          <w:color w:val="000000"/>
          <w:sz w:val="28"/>
          <w:szCs w:val="28"/>
        </w:rPr>
      </w:pPr>
      <w:r>
        <w:rPr>
          <w:rFonts w:asciiTheme="minorEastAsia" w:hAnsiTheme="minorEastAsia" w:eastAsiaTheme="minorEastAsia" w:cstheme="minorEastAsia"/>
          <w:color w:val="000000"/>
          <w:sz w:val="28"/>
          <w:szCs w:val="28"/>
        </w:rPr>
        <w:fldChar w:fldCharType="begin"/>
      </w:r>
      <w:r>
        <w:rPr>
          <w:rFonts w:asciiTheme="minorEastAsia" w:hAnsiTheme="minorEastAsia" w:eastAsiaTheme="minorEastAsia" w:cstheme="minorEastAsia"/>
          <w:color w:val="000000"/>
          <w:sz w:val="28"/>
          <w:szCs w:val="28"/>
        </w:rPr>
        <w:instrText xml:space="preserve"> </w:instrText>
      </w:r>
      <w:r>
        <w:rPr>
          <w:rFonts w:hint="eastAsia" w:asciiTheme="minorEastAsia" w:hAnsiTheme="minorEastAsia" w:eastAsiaTheme="minorEastAsia" w:cstheme="minorEastAsia"/>
          <w:color w:val="000000"/>
          <w:sz w:val="28"/>
          <w:szCs w:val="28"/>
        </w:rPr>
        <w:instrText xml:space="preserve">= 2 \* GB3</w:instrText>
      </w:r>
      <w:r>
        <w:rPr>
          <w:rFonts w:asciiTheme="minorEastAsia" w:hAnsiTheme="minorEastAsia" w:eastAsiaTheme="minorEastAsia" w:cstheme="minorEastAsia"/>
          <w:color w:val="000000"/>
          <w:sz w:val="28"/>
          <w:szCs w:val="28"/>
        </w:rPr>
        <w:instrText xml:space="preserve"> </w:instrText>
      </w:r>
      <w:r>
        <w:rPr>
          <w:rFonts w:asciiTheme="minorEastAsia" w:hAnsiTheme="minorEastAsia" w:eastAsiaTheme="minorEastAsia" w:cstheme="minorEastAsia"/>
          <w:color w:val="000000"/>
          <w:sz w:val="28"/>
          <w:szCs w:val="28"/>
        </w:rPr>
        <w:fldChar w:fldCharType="separate"/>
      </w:r>
      <w:r>
        <w:rPr>
          <w:rFonts w:hint="eastAsia" w:asciiTheme="minorEastAsia" w:hAnsiTheme="minorEastAsia" w:eastAsiaTheme="minorEastAsia" w:cstheme="minorEastAsia"/>
          <w:color w:val="000000"/>
          <w:sz w:val="28"/>
          <w:szCs w:val="28"/>
        </w:rPr>
        <w:t>②</w:t>
      </w:r>
      <w:r>
        <w:rPr>
          <w:rFonts w:asciiTheme="minorEastAsia" w:hAnsiTheme="minorEastAsia" w:eastAsiaTheme="minorEastAsia" w:cstheme="minorEastAsia"/>
          <w:color w:val="000000"/>
          <w:sz w:val="28"/>
          <w:szCs w:val="28"/>
        </w:rPr>
        <w:fldChar w:fldCharType="end"/>
      </w:r>
      <w:r>
        <w:rPr>
          <w:rFonts w:hint="eastAsia" w:asciiTheme="minorEastAsia" w:hAnsiTheme="minorEastAsia" w:eastAsiaTheme="minorEastAsia" w:cstheme="minorEastAsia"/>
          <w:color w:val="000000"/>
          <w:sz w:val="28"/>
          <w:szCs w:val="28"/>
        </w:rPr>
        <w:t>2022年，全市共供应国有建设用地915宗，面积2278.9公顷，其中出让用地571宗，面积1630.7公顷，土地价款206.4亿元，市中心城区出让用地209宗，面积910.9公顷，土地价款128.2亿元；全年入库契税19.52亿元，同比增长16.4%。强化砂石保供支撑，向上对接争取支持，向下协调排难解困，建筑用石料采矿权出让有序推进，今年出让省级建筑用石料采矿权2宗，分别为汨罗、临湘创收1.84亿元和1.04亿元；出让市级发证建筑用石料采矿权2宗，为市县两级财政创收6279.36万元。</w:t>
      </w:r>
    </w:p>
    <w:p>
      <w:pPr>
        <w:autoSpaceDN w:val="0"/>
        <w:spacing w:line="360" w:lineRule="auto"/>
        <w:ind w:firstLine="560" w:firstLineChars="200"/>
        <w:jc w:val="left"/>
        <w:textAlignment w:val="center"/>
        <w:rPr>
          <w:rFonts w:asciiTheme="minorEastAsia" w:hAnsiTheme="minorEastAsia" w:eastAsiaTheme="minorEastAsia" w:cstheme="minorEastAsia"/>
          <w:color w:val="000000"/>
          <w:sz w:val="28"/>
          <w:szCs w:val="28"/>
        </w:rPr>
      </w:pPr>
      <w:r>
        <w:rPr>
          <w:rFonts w:asciiTheme="minorEastAsia" w:hAnsiTheme="minorEastAsia" w:eastAsiaTheme="minorEastAsia" w:cstheme="minorEastAsia"/>
          <w:color w:val="000000"/>
          <w:sz w:val="28"/>
          <w:szCs w:val="28"/>
        </w:rPr>
        <w:fldChar w:fldCharType="begin"/>
      </w:r>
      <w:r>
        <w:rPr>
          <w:rFonts w:asciiTheme="minorEastAsia" w:hAnsiTheme="minorEastAsia" w:eastAsiaTheme="minorEastAsia" w:cstheme="minorEastAsia"/>
          <w:color w:val="000000"/>
          <w:sz w:val="28"/>
          <w:szCs w:val="28"/>
        </w:rPr>
        <w:instrText xml:space="preserve"> </w:instrText>
      </w:r>
      <w:r>
        <w:rPr>
          <w:rFonts w:hint="eastAsia" w:asciiTheme="minorEastAsia" w:hAnsiTheme="minorEastAsia" w:eastAsiaTheme="minorEastAsia" w:cstheme="minorEastAsia"/>
          <w:color w:val="000000"/>
          <w:sz w:val="28"/>
          <w:szCs w:val="28"/>
        </w:rPr>
        <w:instrText xml:space="preserve">= 3 \* GB3</w:instrText>
      </w:r>
      <w:r>
        <w:rPr>
          <w:rFonts w:asciiTheme="minorEastAsia" w:hAnsiTheme="minorEastAsia" w:eastAsiaTheme="minorEastAsia" w:cstheme="minorEastAsia"/>
          <w:color w:val="000000"/>
          <w:sz w:val="28"/>
          <w:szCs w:val="28"/>
        </w:rPr>
        <w:instrText xml:space="preserve"> </w:instrText>
      </w:r>
      <w:r>
        <w:rPr>
          <w:rFonts w:asciiTheme="minorEastAsia" w:hAnsiTheme="minorEastAsia" w:eastAsiaTheme="minorEastAsia" w:cstheme="minorEastAsia"/>
          <w:color w:val="000000"/>
          <w:sz w:val="28"/>
          <w:szCs w:val="28"/>
        </w:rPr>
        <w:fldChar w:fldCharType="separate"/>
      </w:r>
      <w:r>
        <w:rPr>
          <w:rFonts w:hint="eastAsia" w:asciiTheme="minorEastAsia" w:hAnsiTheme="minorEastAsia" w:eastAsiaTheme="minorEastAsia" w:cstheme="minorEastAsia"/>
          <w:color w:val="000000"/>
          <w:sz w:val="28"/>
          <w:szCs w:val="28"/>
        </w:rPr>
        <w:t>③</w:t>
      </w:r>
      <w:r>
        <w:rPr>
          <w:rFonts w:asciiTheme="minorEastAsia" w:hAnsiTheme="minorEastAsia" w:eastAsiaTheme="minorEastAsia" w:cstheme="minorEastAsia"/>
          <w:color w:val="000000"/>
          <w:sz w:val="28"/>
          <w:szCs w:val="28"/>
        </w:rPr>
        <w:fldChar w:fldCharType="end"/>
      </w:r>
      <w:r>
        <w:rPr>
          <w:rFonts w:hint="eastAsia" w:asciiTheme="minorEastAsia" w:hAnsiTheme="minorEastAsia" w:eastAsiaTheme="minorEastAsia" w:cstheme="minorEastAsia"/>
          <w:color w:val="000000"/>
          <w:sz w:val="28"/>
          <w:szCs w:val="28"/>
        </w:rPr>
        <w:t>全年处置批而未供土地215宗1273公顷，处置闲置土地54宗201.27公顷，盘活利用38宗106.4公顷存量土地，实现土地收益49.83亿元，完成省厅规定年度处置任务，园区三类低效土地处置全省排名第</w:t>
      </w:r>
      <w:r>
        <w:rPr>
          <w:rFonts w:hint="eastAsia" w:asciiTheme="minorEastAsia" w:hAnsiTheme="minorEastAsia" w:eastAsiaTheme="minorEastAsia" w:cstheme="minorEastAsia"/>
          <w:color w:val="000000"/>
          <w:sz w:val="28"/>
          <w:szCs w:val="28"/>
          <w:lang w:val="en-US" w:eastAsia="zh-CN"/>
        </w:rPr>
        <w:t>二</w:t>
      </w:r>
      <w:r>
        <w:rPr>
          <w:rFonts w:hint="eastAsia" w:asciiTheme="minorEastAsia" w:hAnsiTheme="minorEastAsia" w:eastAsiaTheme="minorEastAsia" w:cstheme="minorEastAsia"/>
          <w:color w:val="000000"/>
          <w:sz w:val="28"/>
          <w:szCs w:val="28"/>
        </w:rPr>
        <w:t>。</w:t>
      </w:r>
    </w:p>
    <w:p>
      <w:pPr>
        <w:autoSpaceDN w:val="0"/>
        <w:spacing w:line="360" w:lineRule="auto"/>
        <w:ind w:firstLine="560" w:firstLineChars="200"/>
        <w:jc w:val="left"/>
        <w:textAlignment w:val="center"/>
        <w:rPr>
          <w:rFonts w:asciiTheme="minorEastAsia" w:hAnsiTheme="minorEastAsia" w:eastAsiaTheme="minorEastAsia" w:cstheme="minorEastAsia"/>
          <w:color w:val="000000"/>
          <w:sz w:val="28"/>
          <w:szCs w:val="28"/>
        </w:rPr>
      </w:pPr>
      <w:r>
        <w:rPr>
          <w:rFonts w:asciiTheme="minorEastAsia" w:hAnsiTheme="minorEastAsia" w:eastAsiaTheme="minorEastAsia" w:cstheme="minorEastAsia"/>
          <w:color w:val="000000"/>
          <w:sz w:val="28"/>
          <w:szCs w:val="28"/>
        </w:rPr>
        <w:fldChar w:fldCharType="begin"/>
      </w:r>
      <w:r>
        <w:rPr>
          <w:rFonts w:asciiTheme="minorEastAsia" w:hAnsiTheme="minorEastAsia" w:eastAsiaTheme="minorEastAsia" w:cstheme="minorEastAsia"/>
          <w:color w:val="000000"/>
          <w:sz w:val="28"/>
          <w:szCs w:val="28"/>
        </w:rPr>
        <w:instrText xml:space="preserve"> </w:instrText>
      </w:r>
      <w:r>
        <w:rPr>
          <w:rFonts w:hint="eastAsia" w:asciiTheme="minorEastAsia" w:hAnsiTheme="minorEastAsia" w:eastAsiaTheme="minorEastAsia" w:cstheme="minorEastAsia"/>
          <w:color w:val="000000"/>
          <w:sz w:val="28"/>
          <w:szCs w:val="28"/>
        </w:rPr>
        <w:instrText xml:space="preserve">= 4 \* GB3</w:instrText>
      </w:r>
      <w:r>
        <w:rPr>
          <w:rFonts w:asciiTheme="minorEastAsia" w:hAnsiTheme="minorEastAsia" w:eastAsiaTheme="minorEastAsia" w:cstheme="minorEastAsia"/>
          <w:color w:val="000000"/>
          <w:sz w:val="28"/>
          <w:szCs w:val="28"/>
        </w:rPr>
        <w:instrText xml:space="preserve"> </w:instrText>
      </w:r>
      <w:r>
        <w:rPr>
          <w:rFonts w:asciiTheme="minorEastAsia" w:hAnsiTheme="minorEastAsia" w:eastAsiaTheme="minorEastAsia" w:cstheme="minorEastAsia"/>
          <w:color w:val="000000"/>
          <w:sz w:val="28"/>
          <w:szCs w:val="28"/>
        </w:rPr>
        <w:fldChar w:fldCharType="separate"/>
      </w:r>
      <w:r>
        <w:rPr>
          <w:rFonts w:hint="eastAsia" w:asciiTheme="minorEastAsia" w:hAnsiTheme="minorEastAsia" w:eastAsiaTheme="minorEastAsia" w:cstheme="minorEastAsia"/>
          <w:color w:val="000000"/>
          <w:sz w:val="28"/>
          <w:szCs w:val="28"/>
        </w:rPr>
        <w:t>④</w:t>
      </w:r>
      <w:r>
        <w:rPr>
          <w:rFonts w:asciiTheme="minorEastAsia" w:hAnsiTheme="minorEastAsia" w:eastAsiaTheme="minorEastAsia" w:cstheme="minorEastAsia"/>
          <w:color w:val="000000"/>
          <w:sz w:val="28"/>
          <w:szCs w:val="28"/>
        </w:rPr>
        <w:fldChar w:fldCharType="end"/>
      </w:r>
      <w:r>
        <w:rPr>
          <w:rFonts w:hint="eastAsia" w:asciiTheme="minorEastAsia" w:hAnsiTheme="minorEastAsia" w:eastAsiaTheme="minorEastAsia" w:cstheme="minorEastAsia"/>
          <w:color w:val="000000"/>
          <w:sz w:val="28"/>
          <w:szCs w:val="28"/>
        </w:rPr>
        <w:t>按简政放权、放管结合和“园区事园区办”要求，向各区政府（管委会）放权赋权112项。出台了《损害营商环境行为责任追究实施细则》，倒逼责任落实、服务更优。在省、市部署的“送、解、优”专项行动中，省市区交办问题化解率全市排名第一。</w:t>
      </w:r>
    </w:p>
    <w:p>
      <w:pPr>
        <w:autoSpaceDN w:val="0"/>
        <w:spacing w:line="360" w:lineRule="auto"/>
        <w:ind w:firstLine="560" w:firstLineChars="200"/>
        <w:jc w:val="left"/>
        <w:textAlignment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（3）实现了耕地和永久基本农田应保尽保、生态保护红线全面优化、城镇开发边界合理划定的目标</w:t>
      </w:r>
    </w:p>
    <w:p>
      <w:pPr>
        <w:autoSpaceDN w:val="0"/>
        <w:spacing w:line="360" w:lineRule="auto"/>
        <w:ind w:firstLine="560" w:firstLineChars="200"/>
        <w:jc w:val="left"/>
        <w:textAlignment w:val="center"/>
        <w:rPr>
          <w:rFonts w:hint="eastAsia" w:asciiTheme="minorEastAsia" w:hAnsiTheme="minorEastAsia" w:eastAsiaTheme="minorEastAsia" w:cstheme="minorEastAsia"/>
          <w:color w:val="000000"/>
          <w:sz w:val="28"/>
          <w:szCs w:val="28"/>
          <w:lang w:eastAsia="zh-CN"/>
        </w:rPr>
      </w:pPr>
      <w:r>
        <w:rPr>
          <w:rFonts w:asciiTheme="minorEastAsia" w:hAnsiTheme="minorEastAsia" w:eastAsiaTheme="minorEastAsia" w:cstheme="minorEastAsia"/>
          <w:color w:val="000000"/>
          <w:sz w:val="28"/>
          <w:szCs w:val="28"/>
        </w:rPr>
        <w:fldChar w:fldCharType="begin"/>
      </w:r>
      <w:r>
        <w:rPr>
          <w:rFonts w:asciiTheme="minorEastAsia" w:hAnsiTheme="minorEastAsia" w:eastAsiaTheme="minorEastAsia" w:cstheme="minorEastAsia"/>
          <w:color w:val="000000"/>
          <w:sz w:val="28"/>
          <w:szCs w:val="28"/>
        </w:rPr>
        <w:instrText xml:space="preserve"> </w:instrText>
      </w:r>
      <w:r>
        <w:rPr>
          <w:rFonts w:hint="eastAsia" w:asciiTheme="minorEastAsia" w:hAnsiTheme="minorEastAsia" w:eastAsiaTheme="minorEastAsia" w:cstheme="minorEastAsia"/>
          <w:color w:val="000000"/>
          <w:sz w:val="28"/>
          <w:szCs w:val="28"/>
        </w:rPr>
        <w:instrText xml:space="preserve">= 1 \* GB3</w:instrText>
      </w:r>
      <w:r>
        <w:rPr>
          <w:rFonts w:asciiTheme="minorEastAsia" w:hAnsiTheme="minorEastAsia" w:eastAsiaTheme="minorEastAsia" w:cstheme="minorEastAsia"/>
          <w:color w:val="000000"/>
          <w:sz w:val="28"/>
          <w:szCs w:val="28"/>
        </w:rPr>
        <w:instrText xml:space="preserve"> </w:instrText>
      </w:r>
      <w:r>
        <w:rPr>
          <w:rFonts w:asciiTheme="minorEastAsia" w:hAnsiTheme="minorEastAsia" w:eastAsiaTheme="minorEastAsia" w:cstheme="minorEastAsia"/>
          <w:color w:val="000000"/>
          <w:sz w:val="28"/>
          <w:szCs w:val="28"/>
        </w:rPr>
        <w:fldChar w:fldCharType="separate"/>
      </w:r>
      <w:r>
        <w:rPr>
          <w:rFonts w:hint="eastAsia" w:asciiTheme="minorEastAsia" w:hAnsiTheme="minorEastAsia" w:eastAsiaTheme="minorEastAsia" w:cstheme="minorEastAsia"/>
          <w:color w:val="000000"/>
          <w:sz w:val="28"/>
          <w:szCs w:val="28"/>
        </w:rPr>
        <w:t>①</w:t>
      </w:r>
      <w:r>
        <w:rPr>
          <w:rFonts w:asciiTheme="minorEastAsia" w:hAnsiTheme="minorEastAsia" w:eastAsiaTheme="minorEastAsia" w:cstheme="minorEastAsia"/>
          <w:color w:val="000000"/>
          <w:sz w:val="28"/>
          <w:szCs w:val="28"/>
        </w:rPr>
        <w:fldChar w:fldCharType="end"/>
      </w:r>
      <w:r>
        <w:rPr>
          <w:rFonts w:hint="eastAsia" w:asciiTheme="minorEastAsia" w:hAnsiTheme="minorEastAsia" w:eastAsiaTheme="minorEastAsia" w:cstheme="minorEastAsia"/>
          <w:color w:val="000000"/>
          <w:sz w:val="28"/>
          <w:szCs w:val="28"/>
        </w:rPr>
        <w:t>由书记、市长担任“双田长”，设立田长科，全面建立“一长三员”，创新“三员”（即农技员、执法员和监管员）联农户工作机制，建立乡镇田长137个，村级田长1714个，网格田长4865个，建立了严格耕地保护案件移送的责任追究机制和“田长+检察长”协作机制；试点“三长”联动机制，整合田长、河湖长、林长，实行“一巡三查”。自然资源部、省自然资源厅对我市典型做法进行推介，中国自然资源报先后2次刊发推介</w:t>
      </w:r>
      <w:r>
        <w:rPr>
          <w:rFonts w:hint="eastAsia" w:asciiTheme="minorEastAsia" w:hAnsiTheme="minorEastAsia" w:eastAsiaTheme="minorEastAsia" w:cstheme="minorEastAsia"/>
          <w:color w:val="000000"/>
          <w:sz w:val="28"/>
          <w:szCs w:val="28"/>
          <w:lang w:eastAsia="zh-CN"/>
        </w:rPr>
        <w:t>。</w:t>
      </w:r>
    </w:p>
    <w:p>
      <w:pPr>
        <w:autoSpaceDN w:val="0"/>
        <w:spacing w:line="360" w:lineRule="auto"/>
        <w:ind w:firstLine="560" w:firstLineChars="200"/>
        <w:jc w:val="left"/>
        <w:textAlignment w:val="center"/>
        <w:rPr>
          <w:rFonts w:asciiTheme="minorEastAsia" w:hAnsiTheme="minorEastAsia" w:eastAsiaTheme="minorEastAsia" w:cstheme="minorEastAsia"/>
          <w:color w:val="000000"/>
          <w:sz w:val="28"/>
          <w:szCs w:val="28"/>
        </w:rPr>
      </w:pPr>
      <w:r>
        <w:rPr>
          <w:rFonts w:asciiTheme="minorEastAsia" w:hAnsiTheme="minorEastAsia" w:eastAsiaTheme="minorEastAsia" w:cstheme="minorEastAsia"/>
          <w:color w:val="000000"/>
          <w:sz w:val="28"/>
          <w:szCs w:val="28"/>
        </w:rPr>
        <w:fldChar w:fldCharType="begin"/>
      </w:r>
      <w:r>
        <w:rPr>
          <w:rFonts w:asciiTheme="minorEastAsia" w:hAnsiTheme="minorEastAsia" w:eastAsiaTheme="minorEastAsia" w:cstheme="minorEastAsia"/>
          <w:color w:val="000000"/>
          <w:sz w:val="28"/>
          <w:szCs w:val="28"/>
        </w:rPr>
        <w:instrText xml:space="preserve"> </w:instrText>
      </w:r>
      <w:r>
        <w:rPr>
          <w:rFonts w:hint="eastAsia" w:asciiTheme="minorEastAsia" w:hAnsiTheme="minorEastAsia" w:eastAsiaTheme="minorEastAsia" w:cstheme="minorEastAsia"/>
          <w:color w:val="000000"/>
          <w:sz w:val="28"/>
          <w:szCs w:val="28"/>
        </w:rPr>
        <w:instrText xml:space="preserve">= 2 \* GB3</w:instrText>
      </w:r>
      <w:r>
        <w:rPr>
          <w:rFonts w:asciiTheme="minorEastAsia" w:hAnsiTheme="minorEastAsia" w:eastAsiaTheme="minorEastAsia" w:cstheme="minorEastAsia"/>
          <w:color w:val="000000"/>
          <w:sz w:val="28"/>
          <w:szCs w:val="28"/>
        </w:rPr>
        <w:instrText xml:space="preserve"> </w:instrText>
      </w:r>
      <w:r>
        <w:rPr>
          <w:rFonts w:asciiTheme="minorEastAsia" w:hAnsiTheme="minorEastAsia" w:eastAsiaTheme="minorEastAsia" w:cstheme="minorEastAsia"/>
          <w:color w:val="000000"/>
          <w:sz w:val="28"/>
          <w:szCs w:val="28"/>
        </w:rPr>
        <w:fldChar w:fldCharType="separate"/>
      </w:r>
      <w:r>
        <w:rPr>
          <w:rFonts w:hint="eastAsia" w:asciiTheme="minorEastAsia" w:hAnsiTheme="minorEastAsia" w:eastAsiaTheme="minorEastAsia" w:cstheme="minorEastAsia"/>
          <w:color w:val="000000"/>
          <w:sz w:val="28"/>
          <w:szCs w:val="28"/>
        </w:rPr>
        <w:t>②</w:t>
      </w:r>
      <w:r>
        <w:rPr>
          <w:rFonts w:asciiTheme="minorEastAsia" w:hAnsiTheme="minorEastAsia" w:eastAsiaTheme="minorEastAsia" w:cstheme="minorEastAsia"/>
          <w:color w:val="000000"/>
          <w:sz w:val="28"/>
          <w:szCs w:val="28"/>
        </w:rPr>
        <w:fldChar w:fldCharType="end"/>
      </w:r>
      <w:r>
        <w:rPr>
          <w:rFonts w:hint="eastAsia" w:asciiTheme="minorEastAsia" w:hAnsiTheme="minorEastAsia" w:eastAsiaTheme="minorEastAsia" w:cstheme="minorEastAsia"/>
          <w:color w:val="000000"/>
          <w:sz w:val="28"/>
          <w:szCs w:val="28"/>
        </w:rPr>
        <w:t>完成耕地保护专项规划编制，将全市523.04万亩耕地底线目标和水田带位置足额下达到村组户；从严从紧控制建设占用耕地，全市建设占用耕地同比下降51.72%；新增耕地4465亩，其中补充耕地292亩，恢复耕地1594亩，农民自主开垦2579亩。</w:t>
      </w:r>
    </w:p>
    <w:p>
      <w:pPr>
        <w:autoSpaceDN w:val="0"/>
        <w:spacing w:line="360" w:lineRule="auto"/>
        <w:ind w:firstLine="560" w:firstLineChars="200"/>
        <w:jc w:val="left"/>
        <w:textAlignment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（4）地灾防治、不动产登记服务等综合服务方面</w:t>
      </w:r>
    </w:p>
    <w:p>
      <w:pPr>
        <w:autoSpaceDN w:val="0"/>
        <w:spacing w:line="360" w:lineRule="auto"/>
        <w:ind w:firstLine="560" w:firstLineChars="200"/>
        <w:jc w:val="left"/>
        <w:textAlignment w:val="center"/>
        <w:rPr>
          <w:rFonts w:hint="eastAsia" w:asciiTheme="minorEastAsia" w:hAnsiTheme="minorEastAsia" w:eastAsiaTheme="minorEastAsia" w:cstheme="minorEastAsia"/>
          <w:color w:val="000000"/>
          <w:sz w:val="28"/>
          <w:szCs w:val="28"/>
          <w:lang w:eastAsia="zh-CN"/>
        </w:rPr>
      </w:pPr>
      <w:r>
        <w:rPr>
          <w:rFonts w:asciiTheme="minorEastAsia" w:hAnsiTheme="minorEastAsia" w:eastAsiaTheme="minorEastAsia" w:cstheme="minorEastAsia"/>
          <w:color w:val="000000"/>
          <w:sz w:val="28"/>
          <w:szCs w:val="28"/>
        </w:rPr>
        <w:fldChar w:fldCharType="begin"/>
      </w:r>
      <w:r>
        <w:rPr>
          <w:rFonts w:asciiTheme="minorEastAsia" w:hAnsiTheme="minorEastAsia" w:eastAsiaTheme="minorEastAsia" w:cstheme="minorEastAsia"/>
          <w:color w:val="000000"/>
          <w:sz w:val="28"/>
          <w:szCs w:val="28"/>
        </w:rPr>
        <w:instrText xml:space="preserve"> </w:instrText>
      </w:r>
      <w:r>
        <w:rPr>
          <w:rFonts w:hint="eastAsia" w:asciiTheme="minorEastAsia" w:hAnsiTheme="minorEastAsia" w:eastAsiaTheme="minorEastAsia" w:cstheme="minorEastAsia"/>
          <w:color w:val="000000"/>
          <w:sz w:val="28"/>
          <w:szCs w:val="28"/>
        </w:rPr>
        <w:instrText xml:space="preserve">= 1 \* GB3</w:instrText>
      </w:r>
      <w:r>
        <w:rPr>
          <w:rFonts w:asciiTheme="minorEastAsia" w:hAnsiTheme="minorEastAsia" w:eastAsiaTheme="minorEastAsia" w:cstheme="minorEastAsia"/>
          <w:color w:val="000000"/>
          <w:sz w:val="28"/>
          <w:szCs w:val="28"/>
        </w:rPr>
        <w:instrText xml:space="preserve"> </w:instrText>
      </w:r>
      <w:r>
        <w:rPr>
          <w:rFonts w:asciiTheme="minorEastAsia" w:hAnsiTheme="minorEastAsia" w:eastAsiaTheme="minorEastAsia" w:cstheme="minorEastAsia"/>
          <w:color w:val="000000"/>
          <w:sz w:val="28"/>
          <w:szCs w:val="28"/>
        </w:rPr>
        <w:fldChar w:fldCharType="separate"/>
      </w:r>
      <w:r>
        <w:rPr>
          <w:rFonts w:hint="eastAsia" w:asciiTheme="minorEastAsia" w:hAnsiTheme="minorEastAsia" w:eastAsiaTheme="minorEastAsia" w:cstheme="minorEastAsia"/>
          <w:color w:val="000000"/>
          <w:sz w:val="28"/>
          <w:szCs w:val="28"/>
        </w:rPr>
        <w:t>①</w:t>
      </w:r>
      <w:r>
        <w:rPr>
          <w:rFonts w:asciiTheme="minorEastAsia" w:hAnsiTheme="minorEastAsia" w:eastAsiaTheme="minorEastAsia" w:cstheme="minorEastAsia"/>
          <w:color w:val="000000"/>
          <w:sz w:val="28"/>
          <w:szCs w:val="28"/>
        </w:rPr>
        <w:fldChar w:fldCharType="end"/>
      </w:r>
      <w:r>
        <w:rPr>
          <w:rFonts w:hint="eastAsia" w:asciiTheme="minorEastAsia" w:hAnsiTheme="minorEastAsia" w:eastAsiaTheme="minorEastAsia" w:cstheme="minorEastAsia"/>
          <w:color w:val="000000"/>
          <w:sz w:val="28"/>
          <w:szCs w:val="28"/>
        </w:rPr>
        <w:t>抓牢抓实地灾防治。开展临湘市羊楼司镇精准预警和避险转移试点，成效获自然资源部、中国气象局联合调研组充分肯定。典型经验在中国自然资源报刊发推介。2022年，全市共发生地质灾害63起，成功预报险情15起，转移群众2589人，避免经济损失2221.6万元，实现地灾隐患点“零伤亡”</w:t>
      </w:r>
      <w:r>
        <w:rPr>
          <w:rFonts w:hint="eastAsia" w:asciiTheme="minorEastAsia" w:hAnsiTheme="minorEastAsia" w:eastAsiaTheme="minorEastAsia" w:cstheme="minorEastAsia"/>
          <w:color w:val="000000"/>
          <w:sz w:val="28"/>
          <w:szCs w:val="28"/>
          <w:lang w:eastAsia="zh-CN"/>
        </w:rPr>
        <w:t>。</w:t>
      </w:r>
    </w:p>
    <w:p>
      <w:pPr>
        <w:autoSpaceDN w:val="0"/>
        <w:spacing w:line="360" w:lineRule="auto"/>
        <w:ind w:firstLine="560" w:firstLineChars="200"/>
        <w:jc w:val="left"/>
        <w:textAlignment w:val="center"/>
        <w:rPr>
          <w:rFonts w:asciiTheme="minorEastAsia" w:hAnsiTheme="minorEastAsia" w:eastAsiaTheme="minorEastAsia" w:cstheme="minorEastAsia"/>
          <w:color w:val="000000"/>
          <w:sz w:val="28"/>
          <w:szCs w:val="28"/>
        </w:rPr>
      </w:pPr>
      <w:r>
        <w:rPr>
          <w:rFonts w:asciiTheme="minorEastAsia" w:hAnsiTheme="minorEastAsia" w:eastAsiaTheme="minorEastAsia" w:cstheme="minorEastAsia"/>
          <w:color w:val="000000"/>
          <w:sz w:val="28"/>
          <w:szCs w:val="28"/>
        </w:rPr>
        <w:fldChar w:fldCharType="begin"/>
      </w:r>
      <w:r>
        <w:rPr>
          <w:rFonts w:asciiTheme="minorEastAsia" w:hAnsiTheme="minorEastAsia" w:eastAsiaTheme="minorEastAsia" w:cstheme="minorEastAsia"/>
          <w:color w:val="000000"/>
          <w:sz w:val="28"/>
          <w:szCs w:val="28"/>
        </w:rPr>
        <w:instrText xml:space="preserve"> </w:instrText>
      </w:r>
      <w:r>
        <w:rPr>
          <w:rFonts w:hint="eastAsia" w:asciiTheme="minorEastAsia" w:hAnsiTheme="minorEastAsia" w:eastAsiaTheme="minorEastAsia" w:cstheme="minorEastAsia"/>
          <w:color w:val="000000"/>
          <w:sz w:val="28"/>
          <w:szCs w:val="28"/>
        </w:rPr>
        <w:instrText xml:space="preserve">= 2 \* GB3</w:instrText>
      </w:r>
      <w:r>
        <w:rPr>
          <w:rFonts w:asciiTheme="minorEastAsia" w:hAnsiTheme="minorEastAsia" w:eastAsiaTheme="minorEastAsia" w:cstheme="minorEastAsia"/>
          <w:color w:val="000000"/>
          <w:sz w:val="28"/>
          <w:szCs w:val="28"/>
        </w:rPr>
        <w:instrText xml:space="preserve"> </w:instrText>
      </w:r>
      <w:r>
        <w:rPr>
          <w:rFonts w:asciiTheme="minorEastAsia" w:hAnsiTheme="minorEastAsia" w:eastAsiaTheme="minorEastAsia" w:cstheme="minorEastAsia"/>
          <w:color w:val="000000"/>
          <w:sz w:val="28"/>
          <w:szCs w:val="28"/>
        </w:rPr>
        <w:fldChar w:fldCharType="separate"/>
      </w:r>
      <w:r>
        <w:rPr>
          <w:rFonts w:hint="eastAsia" w:asciiTheme="minorEastAsia" w:hAnsiTheme="minorEastAsia" w:eastAsiaTheme="minorEastAsia" w:cstheme="minorEastAsia"/>
          <w:color w:val="000000"/>
          <w:sz w:val="28"/>
          <w:szCs w:val="28"/>
        </w:rPr>
        <w:t>②</w:t>
      </w:r>
      <w:r>
        <w:rPr>
          <w:rFonts w:asciiTheme="minorEastAsia" w:hAnsiTheme="minorEastAsia" w:eastAsiaTheme="minorEastAsia" w:cstheme="minorEastAsia"/>
          <w:color w:val="000000"/>
          <w:sz w:val="28"/>
          <w:szCs w:val="28"/>
        </w:rPr>
        <w:fldChar w:fldCharType="end"/>
      </w:r>
      <w:r>
        <w:rPr>
          <w:rFonts w:hint="eastAsia" w:asciiTheme="minorEastAsia" w:hAnsiTheme="minorEastAsia" w:eastAsiaTheme="minorEastAsia" w:cstheme="minorEastAsia"/>
          <w:color w:val="000000"/>
          <w:sz w:val="28"/>
          <w:szCs w:val="28"/>
        </w:rPr>
        <w:t>出台《岳阳市推进新建商品房交房即交证改革实施方案》，全市44个商品房项目已实施改革，已颁发不动产权证书17050 本；全市纳入集中化解的124个问题楼盘，已完成化解112个，化解率达到90.3%，化解户数41077户，切实增强了人民群众安全感、幸福感</w:t>
      </w:r>
    </w:p>
    <w:p>
      <w:pPr>
        <w:autoSpaceDN w:val="0"/>
        <w:spacing w:line="360" w:lineRule="auto"/>
        <w:ind w:firstLine="560" w:firstLineChars="200"/>
        <w:jc w:val="left"/>
        <w:textAlignment w:val="center"/>
        <w:rPr>
          <w:rFonts w:hint="eastAsia" w:asciiTheme="minorEastAsia" w:hAnsiTheme="minorEastAsia" w:eastAsiaTheme="minorEastAsia" w:cstheme="minorEastAsia"/>
          <w:color w:val="000000"/>
          <w:sz w:val="28"/>
          <w:szCs w:val="28"/>
          <w:lang w:eastAsia="zh-CN"/>
        </w:rPr>
      </w:pPr>
      <w:r>
        <w:rPr>
          <w:rFonts w:asciiTheme="minorEastAsia" w:hAnsiTheme="minorEastAsia" w:eastAsiaTheme="minorEastAsia" w:cstheme="minorEastAsia"/>
          <w:color w:val="000000"/>
          <w:sz w:val="28"/>
          <w:szCs w:val="28"/>
        </w:rPr>
        <w:fldChar w:fldCharType="begin"/>
      </w:r>
      <w:r>
        <w:rPr>
          <w:rFonts w:asciiTheme="minorEastAsia" w:hAnsiTheme="minorEastAsia" w:eastAsiaTheme="minorEastAsia" w:cstheme="minorEastAsia"/>
          <w:color w:val="000000"/>
          <w:sz w:val="28"/>
          <w:szCs w:val="28"/>
        </w:rPr>
        <w:instrText xml:space="preserve"> </w:instrText>
      </w:r>
      <w:r>
        <w:rPr>
          <w:rFonts w:hint="eastAsia" w:asciiTheme="minorEastAsia" w:hAnsiTheme="minorEastAsia" w:eastAsiaTheme="minorEastAsia" w:cstheme="minorEastAsia"/>
          <w:color w:val="000000"/>
          <w:sz w:val="28"/>
          <w:szCs w:val="28"/>
        </w:rPr>
        <w:instrText xml:space="preserve">= 3 \* GB3</w:instrText>
      </w:r>
      <w:r>
        <w:rPr>
          <w:rFonts w:asciiTheme="minorEastAsia" w:hAnsiTheme="minorEastAsia" w:eastAsiaTheme="minorEastAsia" w:cstheme="minorEastAsia"/>
          <w:color w:val="000000"/>
          <w:sz w:val="28"/>
          <w:szCs w:val="28"/>
        </w:rPr>
        <w:instrText xml:space="preserve"> </w:instrText>
      </w:r>
      <w:r>
        <w:rPr>
          <w:rFonts w:asciiTheme="minorEastAsia" w:hAnsiTheme="minorEastAsia" w:eastAsiaTheme="minorEastAsia" w:cstheme="minorEastAsia"/>
          <w:color w:val="000000"/>
          <w:sz w:val="28"/>
          <w:szCs w:val="28"/>
        </w:rPr>
        <w:fldChar w:fldCharType="separate"/>
      </w:r>
      <w:r>
        <w:rPr>
          <w:rFonts w:hint="eastAsia" w:asciiTheme="minorEastAsia" w:hAnsiTheme="minorEastAsia" w:eastAsiaTheme="minorEastAsia" w:cstheme="minorEastAsia"/>
          <w:color w:val="000000"/>
          <w:sz w:val="28"/>
          <w:szCs w:val="28"/>
        </w:rPr>
        <w:t>③</w:t>
      </w:r>
      <w:r>
        <w:rPr>
          <w:rFonts w:asciiTheme="minorEastAsia" w:hAnsiTheme="minorEastAsia" w:eastAsiaTheme="minorEastAsia" w:cstheme="minorEastAsia"/>
          <w:color w:val="000000"/>
          <w:sz w:val="28"/>
          <w:szCs w:val="28"/>
        </w:rPr>
        <w:fldChar w:fldCharType="end"/>
      </w:r>
      <w:r>
        <w:rPr>
          <w:rFonts w:hint="eastAsia" w:asciiTheme="minorEastAsia" w:hAnsiTheme="minorEastAsia" w:eastAsiaTheme="minorEastAsia" w:cstheme="minorEastAsia"/>
          <w:color w:val="000000"/>
          <w:sz w:val="28"/>
          <w:szCs w:val="28"/>
        </w:rPr>
        <w:t>强力推进违法建设治理和自建房安全整治工作。成立了自建房安全隐患排查整治专班，印发专项行动实施方案，召开高规格部署大会，现场通报了中心城区6区20项728处自建房违法建设问题，做到以安全隐患排查推进违法建设治理，以违法建设治理真正消除安全隐患。2022年，全市拆除各类违法建设4608处61.6万平方米，拆除安全隐患自建房921栋16.5万平方米，排查高层建筑1315栋，涉及违法建设37处</w:t>
      </w:r>
      <w:r>
        <w:rPr>
          <w:rFonts w:hint="eastAsia" w:asciiTheme="minorEastAsia" w:hAnsiTheme="minorEastAsia" w:eastAsiaTheme="minorEastAsia" w:cstheme="minorEastAsia"/>
          <w:color w:val="000000"/>
          <w:sz w:val="28"/>
          <w:szCs w:val="28"/>
          <w:lang w:eastAsia="zh-CN"/>
        </w:rPr>
        <w:t>。</w:t>
      </w:r>
    </w:p>
    <w:p>
      <w:pPr>
        <w:autoSpaceDN w:val="0"/>
        <w:spacing w:line="360" w:lineRule="auto"/>
        <w:ind w:firstLine="560" w:firstLineChars="200"/>
        <w:jc w:val="left"/>
        <w:textAlignment w:val="center"/>
        <w:rPr>
          <w:rFonts w:hint="eastAsia" w:asciiTheme="minorEastAsia" w:hAnsiTheme="minorEastAsia" w:eastAsiaTheme="minorEastAsia" w:cstheme="minorEastAsia"/>
          <w:color w:val="000000"/>
          <w:sz w:val="28"/>
          <w:szCs w:val="28"/>
          <w:lang w:eastAsia="zh-CN"/>
        </w:rPr>
      </w:pPr>
      <w:r>
        <w:rPr>
          <w:rFonts w:asciiTheme="minorEastAsia" w:hAnsiTheme="minorEastAsia" w:eastAsiaTheme="minorEastAsia" w:cstheme="minorEastAsia"/>
          <w:color w:val="000000"/>
          <w:sz w:val="28"/>
          <w:szCs w:val="28"/>
        </w:rPr>
        <w:fldChar w:fldCharType="begin"/>
      </w:r>
      <w:r>
        <w:rPr>
          <w:rFonts w:asciiTheme="minorEastAsia" w:hAnsiTheme="minorEastAsia" w:eastAsiaTheme="minorEastAsia" w:cstheme="minorEastAsia"/>
          <w:color w:val="000000"/>
          <w:sz w:val="28"/>
          <w:szCs w:val="28"/>
        </w:rPr>
        <w:instrText xml:space="preserve"> </w:instrText>
      </w:r>
      <w:r>
        <w:rPr>
          <w:rFonts w:hint="eastAsia" w:asciiTheme="minorEastAsia" w:hAnsiTheme="minorEastAsia" w:eastAsiaTheme="minorEastAsia" w:cstheme="minorEastAsia"/>
          <w:color w:val="000000"/>
          <w:sz w:val="28"/>
          <w:szCs w:val="28"/>
        </w:rPr>
        <w:instrText xml:space="preserve">= 4 \* GB3</w:instrText>
      </w:r>
      <w:r>
        <w:rPr>
          <w:rFonts w:asciiTheme="minorEastAsia" w:hAnsiTheme="minorEastAsia" w:eastAsiaTheme="minorEastAsia" w:cstheme="minorEastAsia"/>
          <w:color w:val="000000"/>
          <w:sz w:val="28"/>
          <w:szCs w:val="28"/>
        </w:rPr>
        <w:instrText xml:space="preserve"> </w:instrText>
      </w:r>
      <w:r>
        <w:rPr>
          <w:rFonts w:asciiTheme="minorEastAsia" w:hAnsiTheme="minorEastAsia" w:eastAsiaTheme="minorEastAsia" w:cstheme="minorEastAsia"/>
          <w:color w:val="000000"/>
          <w:sz w:val="28"/>
          <w:szCs w:val="28"/>
        </w:rPr>
        <w:fldChar w:fldCharType="separate"/>
      </w:r>
      <w:r>
        <w:rPr>
          <w:rFonts w:hint="eastAsia" w:asciiTheme="minorEastAsia" w:hAnsiTheme="minorEastAsia" w:eastAsiaTheme="minorEastAsia" w:cstheme="minorEastAsia"/>
          <w:color w:val="000000"/>
          <w:sz w:val="28"/>
          <w:szCs w:val="28"/>
        </w:rPr>
        <w:t>④</w:t>
      </w:r>
      <w:r>
        <w:rPr>
          <w:rFonts w:asciiTheme="minorEastAsia" w:hAnsiTheme="minorEastAsia" w:eastAsiaTheme="minorEastAsia" w:cstheme="minorEastAsia"/>
          <w:color w:val="000000"/>
          <w:sz w:val="28"/>
          <w:szCs w:val="28"/>
        </w:rPr>
        <w:fldChar w:fldCharType="end"/>
      </w:r>
      <w:r>
        <w:rPr>
          <w:rFonts w:hint="eastAsia" w:asciiTheme="minorEastAsia" w:hAnsiTheme="minorEastAsia" w:eastAsiaTheme="minorEastAsia" w:cstheme="minorEastAsia"/>
          <w:color w:val="000000"/>
          <w:sz w:val="28"/>
          <w:szCs w:val="28"/>
        </w:rPr>
        <w:t>深入推进生态修复。将历史遗留矿山生态修复工作纳入我市“污染防治攻坚战”，编制了实施方案稳步推进，今年全面完成历史遗留矿山生态修复任务91.22公顷和污染防治攻坚战“夏季攻势”销号，高效、全面解决了长江经济带废弃露天矿山生态修复和矿产资源开发利用监管等方面的问题；全市建成绿色矿山16家，绿色矿山建设成效获市人大评议“满意”；积极组织申报、成功获批总投资23.489亿元的洞庭湖区域山水林田湖草沙一体化保护和修复工程，争取中央、省级资金10.41亿元；向省厅争取300万元土地复垦项目资金，推动腌菜加工转型升级，3年逐步取缔土坑腌制</w:t>
      </w:r>
      <w:r>
        <w:rPr>
          <w:rFonts w:hint="eastAsia" w:asciiTheme="minorEastAsia" w:hAnsiTheme="minorEastAsia" w:eastAsiaTheme="minorEastAsia" w:cstheme="minorEastAsia"/>
          <w:color w:val="000000"/>
          <w:sz w:val="28"/>
          <w:szCs w:val="28"/>
          <w:lang w:eastAsia="zh-CN"/>
        </w:rPr>
        <w:t>。</w:t>
      </w:r>
    </w:p>
    <w:p>
      <w:pPr>
        <w:autoSpaceDN w:val="0"/>
        <w:spacing w:line="360" w:lineRule="auto"/>
        <w:ind w:firstLine="560" w:firstLineChars="200"/>
        <w:jc w:val="left"/>
        <w:textAlignment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（5）加强党建工作，紧抓廉政建设</w:t>
      </w:r>
    </w:p>
    <w:p>
      <w:pPr>
        <w:autoSpaceDN w:val="0"/>
        <w:spacing w:line="360" w:lineRule="auto"/>
        <w:ind w:firstLine="560" w:firstLineChars="200"/>
        <w:jc w:val="left"/>
        <w:textAlignment w:val="center"/>
        <w:rPr>
          <w:rFonts w:hint="eastAsia" w:asciiTheme="minorEastAsia" w:hAnsiTheme="minorEastAsia" w:eastAsiaTheme="minorEastAsia" w:cstheme="minorEastAsia"/>
          <w:color w:val="000000"/>
          <w:sz w:val="28"/>
          <w:szCs w:val="28"/>
          <w:lang w:eastAsia="zh-CN"/>
        </w:rPr>
      </w:pPr>
      <w:r>
        <w:rPr>
          <w:rFonts w:asciiTheme="minorEastAsia" w:hAnsiTheme="minorEastAsia" w:eastAsiaTheme="minorEastAsia" w:cstheme="minorEastAsia"/>
          <w:color w:val="000000"/>
          <w:sz w:val="28"/>
          <w:szCs w:val="28"/>
        </w:rPr>
        <w:fldChar w:fldCharType="begin"/>
      </w:r>
      <w:r>
        <w:rPr>
          <w:rFonts w:asciiTheme="minorEastAsia" w:hAnsiTheme="minorEastAsia" w:eastAsiaTheme="minorEastAsia" w:cstheme="minorEastAsia"/>
          <w:color w:val="000000"/>
          <w:sz w:val="28"/>
          <w:szCs w:val="28"/>
        </w:rPr>
        <w:instrText xml:space="preserve"> </w:instrText>
      </w:r>
      <w:r>
        <w:rPr>
          <w:rFonts w:hint="eastAsia" w:asciiTheme="minorEastAsia" w:hAnsiTheme="minorEastAsia" w:eastAsiaTheme="minorEastAsia" w:cstheme="minorEastAsia"/>
          <w:color w:val="000000"/>
          <w:sz w:val="28"/>
          <w:szCs w:val="28"/>
        </w:rPr>
        <w:instrText xml:space="preserve">= 1 \* GB3</w:instrText>
      </w:r>
      <w:r>
        <w:rPr>
          <w:rFonts w:asciiTheme="minorEastAsia" w:hAnsiTheme="minorEastAsia" w:eastAsiaTheme="minorEastAsia" w:cstheme="minorEastAsia"/>
          <w:color w:val="000000"/>
          <w:sz w:val="28"/>
          <w:szCs w:val="28"/>
        </w:rPr>
        <w:instrText xml:space="preserve"> </w:instrText>
      </w:r>
      <w:r>
        <w:rPr>
          <w:rFonts w:asciiTheme="minorEastAsia" w:hAnsiTheme="minorEastAsia" w:eastAsiaTheme="minorEastAsia" w:cstheme="minorEastAsia"/>
          <w:color w:val="000000"/>
          <w:sz w:val="28"/>
          <w:szCs w:val="28"/>
        </w:rPr>
        <w:fldChar w:fldCharType="separate"/>
      </w:r>
      <w:r>
        <w:rPr>
          <w:rFonts w:hint="eastAsia" w:asciiTheme="minorEastAsia" w:hAnsiTheme="minorEastAsia" w:eastAsiaTheme="minorEastAsia" w:cstheme="minorEastAsia"/>
          <w:color w:val="000000"/>
          <w:sz w:val="28"/>
          <w:szCs w:val="28"/>
        </w:rPr>
        <w:t>①</w:t>
      </w:r>
      <w:r>
        <w:rPr>
          <w:rFonts w:asciiTheme="minorEastAsia" w:hAnsiTheme="minorEastAsia" w:eastAsiaTheme="minorEastAsia" w:cstheme="minorEastAsia"/>
          <w:color w:val="000000"/>
          <w:sz w:val="28"/>
          <w:szCs w:val="28"/>
        </w:rPr>
        <w:fldChar w:fldCharType="end"/>
      </w:r>
      <w:r>
        <w:rPr>
          <w:rFonts w:hint="eastAsia" w:asciiTheme="minorEastAsia" w:hAnsiTheme="minorEastAsia" w:eastAsiaTheme="minorEastAsia" w:cstheme="minorEastAsia"/>
          <w:color w:val="000000"/>
          <w:sz w:val="28"/>
          <w:szCs w:val="28"/>
        </w:rPr>
        <w:t>强化政治建设。建立了党组主体责任、党组书记第一责任人责任、班子成员“一岗双责”、纪委监督责任“四责协同”机制，各个责任主体齐心协力、同向发力，构建“知责明责、履责督责、考责问责”的责任闭环。召开党组会10次研究部署党的建设、党风廉政建设和反腐败工作</w:t>
      </w:r>
      <w:r>
        <w:rPr>
          <w:rFonts w:hint="eastAsia" w:asciiTheme="minorEastAsia" w:hAnsiTheme="minorEastAsia" w:eastAsiaTheme="minorEastAsia" w:cstheme="minorEastAsia"/>
          <w:color w:val="000000"/>
          <w:sz w:val="28"/>
          <w:szCs w:val="28"/>
          <w:lang w:eastAsia="zh-CN"/>
        </w:rPr>
        <w:t>。</w:t>
      </w:r>
    </w:p>
    <w:p>
      <w:pPr>
        <w:autoSpaceDN w:val="0"/>
        <w:spacing w:line="360" w:lineRule="auto"/>
        <w:ind w:firstLine="560" w:firstLineChars="200"/>
        <w:jc w:val="left"/>
        <w:textAlignment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②</w:t>
      </w:r>
      <w:r>
        <w:rPr>
          <w:rFonts w:hint="eastAsia" w:asciiTheme="minorEastAsia" w:hAnsiTheme="minorEastAsia" w:eastAsiaTheme="minorEastAsia" w:cstheme="minorEastAsia"/>
          <w:color w:val="000000"/>
          <w:sz w:val="28"/>
          <w:szCs w:val="28"/>
        </w:rPr>
        <w:t>强化组织建设。巩固深化领导班子建设，健全理顺执法队伍；以“四亮四强”主题活动为抓手，锻造坚强有力的战斗堡垒，充分激发党员先锋模范意识，构建“三表率一模范”政治机关；坚定落实“第一议题”制度，开展党组理论中心组学习18次，建立“学习强国”、专题辅导培训、青年理论学习小组等学习链条。</w:t>
      </w:r>
    </w:p>
    <w:p>
      <w:pPr>
        <w:autoSpaceDN w:val="0"/>
        <w:spacing w:line="360" w:lineRule="auto"/>
        <w:ind w:firstLine="560" w:firstLineChars="200"/>
        <w:jc w:val="left"/>
        <w:textAlignment w:val="center"/>
        <w:rPr>
          <w:rFonts w:asciiTheme="minorEastAsia" w:hAnsiTheme="minorEastAsia" w:eastAsiaTheme="minorEastAsia" w:cstheme="minorEastAsia"/>
          <w:color w:val="000000"/>
          <w:sz w:val="28"/>
          <w:szCs w:val="28"/>
        </w:rPr>
      </w:pPr>
      <w:r>
        <w:rPr>
          <w:rFonts w:asciiTheme="minorEastAsia" w:hAnsiTheme="minorEastAsia" w:eastAsiaTheme="minorEastAsia" w:cstheme="minorEastAsia"/>
          <w:color w:val="000000"/>
          <w:sz w:val="28"/>
          <w:szCs w:val="28"/>
        </w:rPr>
        <w:fldChar w:fldCharType="begin"/>
      </w:r>
      <w:r>
        <w:rPr>
          <w:rFonts w:asciiTheme="minorEastAsia" w:hAnsiTheme="minorEastAsia" w:eastAsiaTheme="minorEastAsia" w:cstheme="minorEastAsia"/>
          <w:color w:val="000000"/>
          <w:sz w:val="28"/>
          <w:szCs w:val="28"/>
        </w:rPr>
        <w:instrText xml:space="preserve"> </w:instrText>
      </w:r>
      <w:r>
        <w:rPr>
          <w:rFonts w:hint="eastAsia" w:asciiTheme="minorEastAsia" w:hAnsiTheme="minorEastAsia" w:eastAsiaTheme="minorEastAsia" w:cstheme="minorEastAsia"/>
          <w:color w:val="000000"/>
          <w:sz w:val="28"/>
          <w:szCs w:val="28"/>
        </w:rPr>
        <w:instrText xml:space="preserve">= 3 \* GB3</w:instrText>
      </w:r>
      <w:r>
        <w:rPr>
          <w:rFonts w:asciiTheme="minorEastAsia" w:hAnsiTheme="minorEastAsia" w:eastAsiaTheme="minorEastAsia" w:cstheme="minorEastAsia"/>
          <w:color w:val="000000"/>
          <w:sz w:val="28"/>
          <w:szCs w:val="28"/>
        </w:rPr>
        <w:instrText xml:space="preserve"> </w:instrText>
      </w:r>
      <w:r>
        <w:rPr>
          <w:rFonts w:asciiTheme="minorEastAsia" w:hAnsiTheme="minorEastAsia" w:eastAsiaTheme="minorEastAsia" w:cstheme="minorEastAsia"/>
          <w:color w:val="000000"/>
          <w:sz w:val="28"/>
          <w:szCs w:val="28"/>
        </w:rPr>
        <w:fldChar w:fldCharType="separate"/>
      </w:r>
      <w:r>
        <w:rPr>
          <w:rFonts w:hint="eastAsia" w:asciiTheme="minorEastAsia" w:hAnsiTheme="minorEastAsia" w:eastAsiaTheme="minorEastAsia" w:cstheme="minorEastAsia"/>
          <w:color w:val="000000"/>
          <w:sz w:val="28"/>
          <w:szCs w:val="28"/>
        </w:rPr>
        <w:t>③</w:t>
      </w:r>
      <w:r>
        <w:rPr>
          <w:rFonts w:asciiTheme="minorEastAsia" w:hAnsiTheme="minorEastAsia" w:eastAsiaTheme="minorEastAsia" w:cstheme="minorEastAsia"/>
          <w:color w:val="000000"/>
          <w:sz w:val="28"/>
          <w:szCs w:val="28"/>
        </w:rPr>
        <w:fldChar w:fldCharType="end"/>
      </w:r>
      <w:r>
        <w:rPr>
          <w:rFonts w:hint="eastAsia" w:asciiTheme="minorEastAsia" w:hAnsiTheme="minorEastAsia" w:eastAsiaTheme="minorEastAsia" w:cstheme="minorEastAsia"/>
          <w:color w:val="000000"/>
          <w:sz w:val="28"/>
          <w:szCs w:val="28"/>
        </w:rPr>
        <w:t>强化意识形态建设。印发《中共岳阳市自然资源和规划局落实意识形态工作责任制实施细则》，健全意识形态工作机制；完善《岳阳市自然资源和规划局处置突发舆情应急预案》，严格落实领导干部信访维稳包案制度，妥善处理信访件30余件；加强自媒体阵地的管控，严格落实对网上、掌上公开内容的审批，及时清理解散“僵尸”QQ群、微信群，开展重要节点宣传教育活动，推动“学习强国”平台深化应用。</w:t>
      </w:r>
    </w:p>
    <w:p>
      <w:pPr>
        <w:autoSpaceDN w:val="0"/>
        <w:spacing w:line="360" w:lineRule="auto"/>
        <w:ind w:firstLine="560" w:firstLineChars="200"/>
        <w:jc w:val="left"/>
        <w:textAlignment w:val="center"/>
        <w:rPr>
          <w:rFonts w:hint="eastAsia" w:asciiTheme="minorEastAsia" w:hAnsiTheme="minorEastAsia" w:eastAsiaTheme="minorEastAsia" w:cstheme="minorEastAsia"/>
          <w:color w:val="000000"/>
          <w:sz w:val="28"/>
          <w:szCs w:val="28"/>
          <w:lang w:eastAsia="zh-CN"/>
        </w:rPr>
      </w:pPr>
      <w:r>
        <w:rPr>
          <w:rFonts w:asciiTheme="minorEastAsia" w:hAnsiTheme="minorEastAsia" w:eastAsiaTheme="minorEastAsia" w:cstheme="minorEastAsia"/>
          <w:color w:val="000000"/>
          <w:sz w:val="28"/>
          <w:szCs w:val="28"/>
        </w:rPr>
        <w:fldChar w:fldCharType="begin"/>
      </w:r>
      <w:r>
        <w:rPr>
          <w:rFonts w:asciiTheme="minorEastAsia" w:hAnsiTheme="minorEastAsia" w:eastAsiaTheme="minorEastAsia" w:cstheme="minorEastAsia"/>
          <w:color w:val="000000"/>
          <w:sz w:val="28"/>
          <w:szCs w:val="28"/>
        </w:rPr>
        <w:instrText xml:space="preserve"> </w:instrText>
      </w:r>
      <w:r>
        <w:rPr>
          <w:rFonts w:hint="eastAsia" w:asciiTheme="minorEastAsia" w:hAnsiTheme="minorEastAsia" w:eastAsiaTheme="minorEastAsia" w:cstheme="minorEastAsia"/>
          <w:color w:val="000000"/>
          <w:sz w:val="28"/>
          <w:szCs w:val="28"/>
        </w:rPr>
        <w:instrText xml:space="preserve">= 4 \* GB3</w:instrText>
      </w:r>
      <w:r>
        <w:rPr>
          <w:rFonts w:asciiTheme="minorEastAsia" w:hAnsiTheme="minorEastAsia" w:eastAsiaTheme="minorEastAsia" w:cstheme="minorEastAsia"/>
          <w:color w:val="000000"/>
          <w:sz w:val="28"/>
          <w:szCs w:val="28"/>
        </w:rPr>
        <w:instrText xml:space="preserve"> </w:instrText>
      </w:r>
      <w:r>
        <w:rPr>
          <w:rFonts w:asciiTheme="minorEastAsia" w:hAnsiTheme="minorEastAsia" w:eastAsiaTheme="minorEastAsia" w:cstheme="minorEastAsia"/>
          <w:color w:val="000000"/>
          <w:sz w:val="28"/>
          <w:szCs w:val="28"/>
        </w:rPr>
        <w:fldChar w:fldCharType="separate"/>
      </w:r>
      <w:r>
        <w:rPr>
          <w:rFonts w:hint="eastAsia" w:asciiTheme="minorEastAsia" w:hAnsiTheme="minorEastAsia" w:eastAsiaTheme="minorEastAsia" w:cstheme="minorEastAsia"/>
          <w:color w:val="000000"/>
          <w:sz w:val="28"/>
          <w:szCs w:val="28"/>
        </w:rPr>
        <w:t>④</w:t>
      </w:r>
      <w:r>
        <w:rPr>
          <w:rFonts w:asciiTheme="minorEastAsia" w:hAnsiTheme="minorEastAsia" w:eastAsiaTheme="minorEastAsia" w:cstheme="minorEastAsia"/>
          <w:color w:val="000000"/>
          <w:sz w:val="28"/>
          <w:szCs w:val="28"/>
        </w:rPr>
        <w:fldChar w:fldCharType="end"/>
      </w:r>
      <w:r>
        <w:rPr>
          <w:rFonts w:hint="eastAsia" w:asciiTheme="minorEastAsia" w:hAnsiTheme="minorEastAsia" w:eastAsiaTheme="minorEastAsia" w:cstheme="minorEastAsia"/>
          <w:color w:val="000000"/>
          <w:sz w:val="28"/>
          <w:szCs w:val="28"/>
        </w:rPr>
        <w:t>强化廉政建设。以“清廉资规”建设为抓手，向全体干部职工及其家属发出清廉公开信、助廉倡议书，建设清廉文化长廊、清廉地理信息展厅，制作湖南红色廉政文化示意图，举办清廉书画展、清廉讲堂，选树“清廉家庭”14户、“清廉单位”1个、“清廉科室”5个、“清廉岗位”16个，推动廉洁文化进机关、进家庭。创新建立了“特约评议员”制度，</w:t>
      </w:r>
      <w:r>
        <w:rPr>
          <w:rFonts w:asciiTheme="minorEastAsia" w:hAnsiTheme="minorEastAsia" w:eastAsiaTheme="minorEastAsia" w:cstheme="minorEastAsia"/>
          <w:color w:val="000000"/>
          <w:sz w:val="28"/>
          <w:szCs w:val="28"/>
        </w:rPr>
        <w:t>聘请企业、群众特约评议员</w:t>
      </w:r>
      <w:r>
        <w:rPr>
          <w:rFonts w:hint="eastAsia" w:asciiTheme="minorEastAsia" w:hAnsiTheme="minorEastAsia" w:eastAsiaTheme="minorEastAsia" w:cstheme="minorEastAsia"/>
          <w:color w:val="000000"/>
          <w:sz w:val="28"/>
          <w:szCs w:val="28"/>
        </w:rPr>
        <w:t>16名</w:t>
      </w:r>
      <w:r>
        <w:rPr>
          <w:rFonts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z w:val="28"/>
          <w:szCs w:val="28"/>
        </w:rPr>
        <w:t>构建新型政商关系；紧盯关键环节，梳理廉政风险点385个，制定完善相应防控措施；扎实开展国家公职人员打牌赌博和违规吃喝问题专项整治行动，全覆盖开展违规收送红包礼金专项整治，签订承诺书346份</w:t>
      </w:r>
      <w:r>
        <w:rPr>
          <w:rFonts w:hint="eastAsia" w:asciiTheme="minorEastAsia" w:hAnsiTheme="minorEastAsia" w:eastAsiaTheme="minorEastAsia" w:cstheme="minorEastAsia"/>
          <w:color w:val="000000"/>
          <w:sz w:val="28"/>
          <w:szCs w:val="28"/>
          <w:lang w:eastAsia="zh-CN"/>
        </w:rPr>
        <w:t>。</w:t>
      </w:r>
    </w:p>
    <w:p>
      <w:pPr>
        <w:autoSpaceDN w:val="0"/>
        <w:spacing w:line="520" w:lineRule="exact"/>
        <w:ind w:firstLine="562" w:firstLineChars="200"/>
        <w:jc w:val="left"/>
        <w:textAlignment w:val="center"/>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2、质量目标</w:t>
      </w:r>
    </w:p>
    <w:p>
      <w:pPr>
        <w:spacing w:line="63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（1）编制国土空间规划获得上级的肯定，其中编制了500个村庄规划方案，在全省</w:t>
      </w:r>
      <w:r>
        <w:rPr>
          <w:rFonts w:asciiTheme="minorEastAsia" w:hAnsiTheme="minorEastAsia" w:eastAsiaTheme="minorEastAsia" w:cstheme="minorEastAsia"/>
          <w:color w:val="000000"/>
          <w:sz w:val="28"/>
          <w:szCs w:val="28"/>
        </w:rPr>
        <w:t>优秀国土空间规划设计和案例展评活动</w:t>
      </w:r>
      <w:r>
        <w:rPr>
          <w:rFonts w:hint="eastAsia" w:asciiTheme="minorEastAsia" w:hAnsiTheme="minorEastAsia" w:eastAsiaTheme="minorEastAsia" w:cstheme="minorEastAsia"/>
          <w:color w:val="000000"/>
          <w:sz w:val="28"/>
          <w:szCs w:val="28"/>
        </w:rPr>
        <w:t>中，全市市获得一等奖3个、二等奖1个、优胜奖3个，其中岳阳县张谷英镇张谷英村村庄规划、临湘市江南镇洋溪村村庄规划同时获得省厅一等奖。</w:t>
      </w:r>
    </w:p>
    <w:p>
      <w:pPr>
        <w:autoSpaceDN w:val="0"/>
        <w:spacing w:line="360" w:lineRule="auto"/>
        <w:ind w:firstLine="560" w:firstLineChars="200"/>
        <w:jc w:val="left"/>
        <w:textAlignment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实现了耕地和永久基本农田应保尽保、生态保护红线全面优化、城镇开发边界合理划定的目标，在省内位居前列，耕地保护措施成效突出。2022年，整改月清“三地”违法用地问题447个，整改到位率91.72%，整改到位率位居全省前列；农村乱占耕地问题118个，整改到位率89.4%。</w:t>
      </w:r>
    </w:p>
    <w:p>
      <w:pPr>
        <w:autoSpaceDN w:val="0"/>
        <w:spacing w:line="360" w:lineRule="auto"/>
        <w:ind w:firstLine="560" w:firstLineChars="200"/>
        <w:jc w:val="left"/>
        <w:textAlignment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（3）积极开展批而未供、闲置土地处置，闲置土地处置率超达到省厅50%的要求，园区三类低效土地处置全省排名第2名。</w:t>
      </w:r>
    </w:p>
    <w:p>
      <w:pPr>
        <w:autoSpaceDN w:val="0"/>
        <w:spacing w:line="360" w:lineRule="auto"/>
        <w:ind w:firstLine="560" w:firstLineChars="200"/>
        <w:jc w:val="left"/>
        <w:textAlignment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（4）开展临湘市羊楼司镇精准预警和避险转移试点，成效获自然资源部、中国气象局联合调研组充分肯定，实现地灾隐患点“零伤亡”.全面完成省市下达的生态保护及修复指标任务。</w:t>
      </w:r>
    </w:p>
    <w:p>
      <w:pPr>
        <w:autoSpaceDN w:val="0"/>
        <w:spacing w:line="360" w:lineRule="auto"/>
        <w:ind w:firstLine="560" w:firstLineChars="200"/>
        <w:jc w:val="left"/>
        <w:textAlignment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深化不动产统一登记改革，拓宽线上业务辐射范围，登记效能不断攀升，一般登记压缩至两日办结；全市纳入集中化解的124个问题楼盘，已完成化解112个，化解率达到90.3%，“最多跑一次”改革落实到位，优化营商环境效果显著。</w:t>
      </w:r>
    </w:p>
    <w:p>
      <w:pPr>
        <w:pStyle w:val="2"/>
        <w:spacing w:line="360" w:lineRule="auto"/>
        <w:ind w:firstLine="562" w:firstLineChars="200"/>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3、时效目标</w:t>
      </w:r>
    </w:p>
    <w:p>
      <w:pPr>
        <w:autoSpaceDN w:val="0"/>
        <w:spacing w:line="360" w:lineRule="auto"/>
        <w:ind w:firstLine="560" w:firstLineChars="200"/>
        <w:jc w:val="left"/>
        <w:textAlignment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（1）优化营商环境，产权登记审批日期缩短2个工作日。</w:t>
      </w:r>
    </w:p>
    <w:p>
      <w:pPr>
        <w:autoSpaceDN w:val="0"/>
        <w:spacing w:line="360" w:lineRule="auto"/>
        <w:ind w:firstLine="560" w:firstLineChars="200"/>
        <w:jc w:val="left"/>
        <w:textAlignment w:val="center"/>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rPr>
        <w:t>（2）所有来信来访及时答复</w:t>
      </w:r>
      <w:r>
        <w:rPr>
          <w:rFonts w:hint="eastAsia" w:asciiTheme="minorEastAsia" w:hAnsiTheme="minorEastAsia" w:eastAsiaTheme="minorEastAsia" w:cstheme="minorEastAsia"/>
          <w:color w:val="000000"/>
          <w:sz w:val="28"/>
          <w:szCs w:val="28"/>
          <w:lang w:eastAsia="zh-CN"/>
        </w:rPr>
        <w:t>。</w:t>
      </w:r>
    </w:p>
    <w:p>
      <w:pPr>
        <w:autoSpaceDN w:val="0"/>
        <w:spacing w:line="360" w:lineRule="auto"/>
        <w:ind w:firstLine="560" w:firstLineChars="200"/>
        <w:jc w:val="left"/>
        <w:textAlignment w:val="center"/>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rPr>
        <w:t>（3）在规定时限内腾地、供地和完成整改、销号等任务</w:t>
      </w:r>
      <w:r>
        <w:rPr>
          <w:rFonts w:hint="eastAsia" w:asciiTheme="minorEastAsia" w:hAnsiTheme="minorEastAsia" w:eastAsiaTheme="minorEastAsia" w:cstheme="minorEastAsia"/>
          <w:color w:val="000000"/>
          <w:sz w:val="28"/>
          <w:szCs w:val="28"/>
          <w:lang w:eastAsia="zh-CN"/>
        </w:rPr>
        <w:t>。</w:t>
      </w:r>
    </w:p>
    <w:p>
      <w:pPr>
        <w:pStyle w:val="2"/>
        <w:spacing w:line="360" w:lineRule="auto"/>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color w:val="000000"/>
          <w:sz w:val="28"/>
          <w:szCs w:val="28"/>
        </w:rPr>
        <w:t>4、成本控制</w:t>
      </w:r>
    </w:p>
    <w:p>
      <w:pPr>
        <w:autoSpaceDN w:val="0"/>
        <w:spacing w:line="360" w:lineRule="auto"/>
        <w:ind w:firstLine="560" w:firstLineChars="200"/>
        <w:jc w:val="left"/>
        <w:textAlignment w:val="center"/>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rPr>
        <w:t>（1）全年预算资金支出控制在总额内</w:t>
      </w:r>
      <w:r>
        <w:rPr>
          <w:rFonts w:hint="eastAsia" w:asciiTheme="minorEastAsia" w:hAnsiTheme="minorEastAsia" w:eastAsiaTheme="minorEastAsia" w:cstheme="minorEastAsia"/>
          <w:color w:val="000000"/>
          <w:sz w:val="28"/>
          <w:szCs w:val="28"/>
          <w:lang w:eastAsia="zh-CN"/>
        </w:rPr>
        <w:t>。</w:t>
      </w:r>
    </w:p>
    <w:p>
      <w:pPr>
        <w:autoSpaceDN w:val="0"/>
        <w:spacing w:line="360" w:lineRule="auto"/>
        <w:ind w:firstLine="560" w:firstLineChars="200"/>
        <w:jc w:val="left"/>
        <w:textAlignment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color w:val="000000"/>
          <w:sz w:val="28"/>
          <w:szCs w:val="28"/>
        </w:rPr>
        <w:t>（2）项目资金支出控制在预算额内</w:t>
      </w:r>
      <w:r>
        <w:rPr>
          <w:rFonts w:hint="eastAsia" w:asciiTheme="minorEastAsia" w:hAnsiTheme="minorEastAsia" w:eastAsiaTheme="minorEastAsia" w:cstheme="minorEastAsia"/>
          <w:color w:val="000000"/>
          <w:sz w:val="28"/>
          <w:szCs w:val="28"/>
          <w:lang w:eastAsia="zh-CN"/>
        </w:rPr>
        <w:t>。</w:t>
      </w:r>
    </w:p>
    <w:p>
      <w:pPr>
        <w:autoSpaceDN w:val="0"/>
        <w:spacing w:line="360" w:lineRule="auto"/>
        <w:ind w:firstLine="562" w:firstLineChars="200"/>
        <w:jc w:val="left"/>
        <w:textAlignment w:val="center"/>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5、效益、社会公众及服好务对象满意度</w:t>
      </w:r>
    </w:p>
    <w:p>
      <w:pPr>
        <w:autoSpaceDN w:val="0"/>
        <w:spacing w:line="360" w:lineRule="auto"/>
        <w:ind w:firstLine="560" w:firstLineChars="200"/>
        <w:jc w:val="left"/>
        <w:textAlignment w:val="center"/>
        <w:rPr>
          <w:rFonts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rPr>
        <w:t>（1）社会效益</w:t>
      </w:r>
    </w:p>
    <w:p>
      <w:pPr>
        <w:autoSpaceDN w:val="0"/>
        <w:spacing w:line="360" w:lineRule="auto"/>
        <w:ind w:firstLine="560" w:firstLineChars="200"/>
        <w:jc w:val="left"/>
        <w:textAlignment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一是规划编制成果推进中心城区的协调发展，保障了重点产业发展和中心城市的发展需求，为我市建设名副其实的省域副中心城市给予了强有力的要素保障。</w:t>
      </w:r>
    </w:p>
    <w:p>
      <w:pPr>
        <w:autoSpaceDN w:val="0"/>
        <w:spacing w:line="360" w:lineRule="auto"/>
        <w:ind w:firstLine="560" w:firstLineChars="200"/>
        <w:jc w:val="left"/>
        <w:textAlignment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二是加强闲置土地处置力度，盘活存量土地，提高土地开发利用水平，助力政府财源建设。</w:t>
      </w:r>
    </w:p>
    <w:p>
      <w:pPr>
        <w:autoSpaceDN w:val="0"/>
        <w:spacing w:line="360" w:lineRule="auto"/>
        <w:ind w:firstLine="560" w:firstLineChars="200"/>
        <w:jc w:val="left"/>
        <w:textAlignment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三是为老百姓提供合法合规、便民利民的不动产登记服务，保障购房群众合法权益，切实维护和保障了群众利益。</w:t>
      </w:r>
    </w:p>
    <w:p>
      <w:pPr>
        <w:autoSpaceDN w:val="0"/>
        <w:spacing w:line="360" w:lineRule="auto"/>
        <w:ind w:firstLine="560" w:firstLineChars="200"/>
        <w:jc w:val="left"/>
        <w:textAlignment w:val="center"/>
        <w:rPr>
          <w:rFonts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rPr>
        <w:t>（2）经济效益</w:t>
      </w:r>
    </w:p>
    <w:p>
      <w:pPr>
        <w:autoSpaceDN w:val="0"/>
        <w:spacing w:line="360" w:lineRule="auto"/>
        <w:ind w:firstLine="560" w:firstLineChars="200"/>
        <w:jc w:val="left"/>
        <w:textAlignment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一是土地收入减轻地方政府的债务化解压力，2022年市中心城区出让用地209宗，面积910.9公顷，土地价款128.2亿元；全年入库契税19.52亿元，同比增长16.4%，为市委市政府的“三保”政策执行提供了经济支持。</w:t>
      </w:r>
    </w:p>
    <w:p>
      <w:pPr>
        <w:autoSpaceDN w:val="0"/>
        <w:spacing w:line="360" w:lineRule="auto"/>
        <w:ind w:firstLine="560" w:firstLineChars="200"/>
        <w:jc w:val="left"/>
        <w:textAlignment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二是积极组织申报、成功获批总投资23.489亿元的洞庭湖区域山水林田湖草沙一体化保护和修复工程，争取中央、省级资金10.41亿元；向省厅争取300万元土地复垦项目资金，推动腌菜加工转型升级，3年逐步取缔土坑腌制。</w:t>
      </w:r>
    </w:p>
    <w:p>
      <w:pPr>
        <w:pStyle w:val="2"/>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 xml:space="preserve">     三是全年超额完成预定的非税收入任务17400万元。</w:t>
      </w:r>
    </w:p>
    <w:p>
      <w:pPr>
        <w:autoSpaceDN w:val="0"/>
        <w:spacing w:line="360" w:lineRule="auto"/>
        <w:ind w:firstLine="560" w:firstLineChars="200"/>
        <w:jc w:val="left"/>
        <w:textAlignment w:val="center"/>
        <w:rPr>
          <w:rFonts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rPr>
        <w:t>（3）生态效益</w:t>
      </w:r>
    </w:p>
    <w:p>
      <w:pPr>
        <w:autoSpaceDN w:val="0"/>
        <w:spacing w:line="360" w:lineRule="auto"/>
        <w:ind w:firstLine="560" w:firstLineChars="200"/>
        <w:jc w:val="left"/>
        <w:textAlignment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一是加快生态修复治理，完成历史遗留矿山生态修复任务91.22公顷。</w:t>
      </w:r>
    </w:p>
    <w:p>
      <w:pPr>
        <w:autoSpaceDN w:val="0"/>
        <w:spacing w:line="360" w:lineRule="auto"/>
        <w:ind w:firstLine="560" w:firstLineChars="200"/>
        <w:jc w:val="left"/>
        <w:textAlignment w:val="center"/>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rPr>
        <w:t>二是加快绿色矿山建设，全面解决了长江经济带废弃露天矿山生态修复和矿产资源开发利用监管等方面的问题；全市建成绿色矿山16家，绿色矿山建设成效获市人大评议“满意”</w:t>
      </w:r>
      <w:r>
        <w:rPr>
          <w:rFonts w:hint="eastAsia" w:asciiTheme="minorEastAsia" w:hAnsiTheme="minorEastAsia" w:eastAsiaTheme="minorEastAsia" w:cstheme="minorEastAsia"/>
          <w:color w:val="000000"/>
          <w:sz w:val="28"/>
          <w:szCs w:val="28"/>
          <w:lang w:eastAsia="zh-CN"/>
        </w:rPr>
        <w:t>。</w:t>
      </w:r>
    </w:p>
    <w:p>
      <w:pPr>
        <w:autoSpaceDN w:val="0"/>
        <w:spacing w:line="360" w:lineRule="auto"/>
        <w:ind w:firstLine="560" w:firstLineChars="200"/>
        <w:jc w:val="left"/>
        <w:textAlignment w:val="center"/>
        <w:rPr>
          <w:rFonts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rPr>
        <w:t>（4）社会公众及服务对象满意度</w:t>
      </w:r>
    </w:p>
    <w:p>
      <w:pPr>
        <w:autoSpaceDN w:val="0"/>
        <w:spacing w:line="360" w:lineRule="auto"/>
        <w:ind w:firstLine="560" w:firstLineChars="200"/>
        <w:jc w:val="left"/>
        <w:textAlignment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一是议案回复满意率95%以上。</w:t>
      </w:r>
    </w:p>
    <w:p>
      <w:pPr>
        <w:autoSpaceDN w:val="0"/>
        <w:spacing w:line="360" w:lineRule="auto"/>
        <w:ind w:firstLine="560" w:firstLineChars="200"/>
        <w:jc w:val="left"/>
        <w:textAlignment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二是信访办结回复满意率90%以上。</w:t>
      </w:r>
    </w:p>
    <w:p>
      <w:pPr>
        <w:autoSpaceDN w:val="0"/>
        <w:spacing w:line="360" w:lineRule="auto"/>
        <w:ind w:firstLine="562" w:firstLineChars="200"/>
        <w:jc w:val="left"/>
        <w:textAlignment w:val="center"/>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（二）绩效目标完成情况</w:t>
      </w:r>
    </w:p>
    <w:p>
      <w:pPr>
        <w:autoSpaceDN w:val="0"/>
        <w:spacing w:line="520" w:lineRule="exact"/>
        <w:ind w:firstLine="560" w:firstLineChars="200"/>
        <w:jc w:val="left"/>
        <w:textAlignment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Cs/>
          <w:sz w:val="28"/>
          <w:szCs w:val="28"/>
        </w:rPr>
        <w:t>市自然资源和规划局2022年年度绩效目标任务已完成，具体完成情况</w:t>
      </w:r>
      <w:r>
        <w:rPr>
          <w:rFonts w:hint="eastAsia" w:asciiTheme="minorEastAsia" w:hAnsiTheme="minorEastAsia" w:eastAsiaTheme="minorEastAsia" w:cstheme="minorEastAsia"/>
          <w:bCs/>
          <w:color w:val="000000"/>
          <w:sz w:val="28"/>
          <w:szCs w:val="28"/>
        </w:rPr>
        <w:t>见本报告附表</w:t>
      </w:r>
      <w:r>
        <w:rPr>
          <w:rFonts w:hint="eastAsia" w:asciiTheme="minorEastAsia" w:hAnsiTheme="minorEastAsia" w:eastAsiaTheme="minorEastAsia" w:cstheme="minorEastAsia"/>
          <w:color w:val="000000"/>
          <w:sz w:val="28"/>
          <w:szCs w:val="28"/>
        </w:rPr>
        <w:t>。</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三、整体支出情况  </w:t>
      </w:r>
    </w:p>
    <w:p>
      <w:pPr>
        <w:pStyle w:val="2"/>
        <w:spacing w:after="0"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（一）市自然资源和规划局2022年整体收支情况（决算报表）</w:t>
      </w:r>
    </w:p>
    <w:p>
      <w:pPr>
        <w:pStyle w:val="4"/>
        <w:spacing w:line="360" w:lineRule="auto"/>
        <w:ind w:left="0" w:leftChars="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
          <w:sz w:val="28"/>
          <w:szCs w:val="28"/>
        </w:rPr>
        <w:t>1、收入情况</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至2022年末，收入合计16614.47万元，其中：本年一般公共预算财政拨款收入合计15436.65万元，政府性基金预算拨款收入585.40万元，其他收入592.42万元，年初结转结余收入29.84万元，非财政拨款结余30.83万元。</w:t>
      </w:r>
    </w:p>
    <w:p>
      <w:pPr>
        <w:numPr>
          <w:ilvl w:val="0"/>
          <w:numId w:val="2"/>
        </w:num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支出情况</w:t>
      </w:r>
    </w:p>
    <w:p>
      <w:pPr>
        <w:spacing w:line="360" w:lineRule="auto"/>
        <w:ind w:firstLine="560"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Cs/>
          <w:sz w:val="28"/>
          <w:szCs w:val="28"/>
        </w:rPr>
        <w:t>至2022年末，支出合计16675.13元，其中：基本支出8664.73万元，项目支出8009.50万元。</w:t>
      </w:r>
    </w:p>
    <w:p>
      <w:pPr>
        <w:numPr>
          <w:ilvl w:val="0"/>
          <w:numId w:val="3"/>
        </w:numPr>
        <w:spacing w:line="360" w:lineRule="auto"/>
        <w:ind w:firstLine="562" w:firstLineChars="200"/>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基本支出情况</w:t>
      </w:r>
    </w:p>
    <w:p>
      <w:pPr>
        <w:numPr>
          <w:ilvl w:val="0"/>
          <w:numId w:val="0"/>
        </w:num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202</w:t>
      </w:r>
      <w:r>
        <w:rPr>
          <w:rFonts w:hint="eastAsia" w:asciiTheme="minorEastAsia" w:hAnsiTheme="minorEastAsia" w:eastAsiaTheme="minorEastAsia" w:cstheme="minorEastAsia"/>
          <w:bCs/>
          <w:sz w:val="28"/>
          <w:szCs w:val="28"/>
          <w:lang w:val="en-US" w:eastAsia="zh-CN"/>
        </w:rPr>
        <w:t>2</w:t>
      </w:r>
      <w:r>
        <w:rPr>
          <w:rFonts w:hint="eastAsia" w:asciiTheme="minorEastAsia" w:hAnsiTheme="minorEastAsia" w:eastAsiaTheme="minorEastAsia" w:cstheme="minorEastAsia"/>
          <w:bCs/>
          <w:sz w:val="28"/>
          <w:szCs w:val="28"/>
        </w:rPr>
        <w:t>年局机关基本支出8664.73万元，其中：人员经费支出6023.92万元，占基本支出69.52%;公用经费支出2640.81万元,占基本支出31.48%。</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按照经济分类支出情况如下：</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eastAsia="zh-CN"/>
        </w:rPr>
        <w:t>①</w:t>
      </w:r>
      <w:r>
        <w:rPr>
          <w:rFonts w:hint="eastAsia" w:asciiTheme="minorEastAsia" w:hAnsiTheme="minorEastAsia" w:eastAsiaTheme="minorEastAsia" w:cstheme="minorEastAsia"/>
          <w:bCs/>
          <w:sz w:val="28"/>
          <w:szCs w:val="28"/>
        </w:rPr>
        <w:t>工资福利支出5442.53万元，支付职工工资、津补贴、绩效工资及社会缴费等。</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eastAsia="zh-CN"/>
        </w:rPr>
        <w:t>②</w:t>
      </w:r>
      <w:r>
        <w:rPr>
          <w:rFonts w:hint="eastAsia" w:asciiTheme="minorEastAsia" w:hAnsiTheme="minorEastAsia" w:eastAsiaTheme="minorEastAsia" w:cstheme="minorEastAsia"/>
          <w:bCs/>
          <w:sz w:val="28"/>
          <w:szCs w:val="28"/>
        </w:rPr>
        <w:t>对个人和家庭补助支出582.26万元，主要开支退休费用、抚恤费、奖励金、其他对个人和家庭的补助等费用等。</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Cs/>
          <w:sz w:val="28"/>
          <w:szCs w:val="28"/>
          <w:lang w:val="en-US" w:eastAsia="zh-CN"/>
        </w:rPr>
        <w:t>③</w:t>
      </w:r>
      <w:r>
        <w:rPr>
          <w:rFonts w:hint="eastAsia" w:asciiTheme="minorEastAsia" w:hAnsiTheme="minorEastAsia" w:eastAsiaTheme="minorEastAsia" w:cstheme="minorEastAsia"/>
          <w:bCs/>
          <w:sz w:val="28"/>
          <w:szCs w:val="28"/>
        </w:rPr>
        <w:t>商品和服务支出10039.98万元，主要用于办公费、印刷费、水电费、邮电费、取暖费、物业费、差旅费、维修（护）费、租赁费、会议费、培训费、公务接待费、劳务费、委托业务费、工会经费、公务用车运行费、其他交通费用、其他商品和服务支出等机关运转费用支出。</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eastAsia="zh-CN"/>
        </w:rPr>
        <w:t>④</w:t>
      </w:r>
      <w:r>
        <w:rPr>
          <w:rFonts w:hint="eastAsia" w:asciiTheme="minorEastAsia" w:hAnsiTheme="minorEastAsia" w:eastAsiaTheme="minorEastAsia" w:cstheme="minorEastAsia"/>
          <w:bCs/>
          <w:sz w:val="28"/>
          <w:szCs w:val="28"/>
        </w:rPr>
        <w:t>资本性支出609.46万元,主要用于办公设备购置、其他资本性支出。</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（2）项目（专项）支出</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202</w:t>
      </w:r>
      <w:r>
        <w:rPr>
          <w:rFonts w:hint="eastAsia" w:asciiTheme="minorEastAsia" w:hAnsiTheme="minorEastAsia" w:eastAsiaTheme="minorEastAsia" w:cstheme="minorEastAsia"/>
          <w:bCs/>
          <w:sz w:val="28"/>
          <w:szCs w:val="28"/>
          <w:lang w:val="en-US" w:eastAsia="zh-CN"/>
        </w:rPr>
        <w:t>2</w:t>
      </w:r>
      <w:r>
        <w:rPr>
          <w:rFonts w:hint="eastAsia" w:asciiTheme="minorEastAsia" w:hAnsiTheme="minorEastAsia" w:eastAsiaTheme="minorEastAsia" w:cstheme="minorEastAsia"/>
          <w:bCs/>
          <w:sz w:val="28"/>
          <w:szCs w:val="28"/>
        </w:rPr>
        <w:t>年度，市自然资源和规划局机关实施的均为非基建项目，资金主要来源于财政专项拨款,项目预算588.80万元，财政拨款8009.50万元，实际专项支出8009.50万元，具体支出项目如下：</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Cs/>
          <w:sz w:val="28"/>
          <w:szCs w:val="28"/>
          <w:lang w:val="en-US" w:eastAsia="zh-CN"/>
        </w:rPr>
        <w:t>①</w:t>
      </w:r>
      <w:r>
        <w:rPr>
          <w:rFonts w:hint="eastAsia" w:asciiTheme="minorEastAsia" w:hAnsiTheme="minorEastAsia" w:eastAsiaTheme="minorEastAsia" w:cstheme="minorEastAsia"/>
          <w:bCs/>
          <w:sz w:val="28"/>
          <w:szCs w:val="28"/>
        </w:rPr>
        <w:t>工资福利支出0.87万元；商品和服务支出7472.19万元，主要用于办公费、印刷费、水电费、邮电费、取暖费、物业费、差旅费、维修（护）费、租赁费、会议费、培训费、公务接待费、劳务费、委托业务费、工会经费、公务用车运行费、其他交通费用、其他商品和服务支出等机关运转费用支出。</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eastAsia="zh-CN"/>
        </w:rPr>
        <w:t>②</w:t>
      </w:r>
      <w:r>
        <w:rPr>
          <w:rFonts w:hint="eastAsia" w:asciiTheme="minorEastAsia" w:hAnsiTheme="minorEastAsia" w:eastAsiaTheme="minorEastAsia" w:cstheme="minorEastAsia"/>
          <w:bCs/>
          <w:sz w:val="28"/>
          <w:szCs w:val="28"/>
        </w:rPr>
        <w:t>资本性支出536.45万元,主要用于办公设备购置、基础设施建设。</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val="en-US" w:eastAsia="zh-CN"/>
        </w:rPr>
        <w:t>3</w:t>
      </w:r>
      <w:r>
        <w:rPr>
          <w:rFonts w:hint="eastAsia" w:asciiTheme="minorEastAsia" w:hAnsiTheme="minorEastAsia" w:eastAsiaTheme="minorEastAsia" w:cstheme="minorEastAsia"/>
          <w:b/>
          <w:sz w:val="28"/>
          <w:szCs w:val="28"/>
        </w:rPr>
        <w:t>、三公经费使用和管理情况</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市自然资源和规划局三公经费情况。至2022年末，市自然资源和规划局三公经费预算41万元，其中公务接待费预算17万元，公务用车运维费预算24万元，因公出国费0万元；实际支出合计63.44万元，其中公务接待费支出15.72万元，公务用车运维费47.72万元，因公出国费0万元；三公经费预算控制较好。</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四、内部管理情况</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（一）局机关固定资产管理情况分析</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1、固定资产帐面情况</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至202</w:t>
      </w:r>
      <w:r>
        <w:rPr>
          <w:rFonts w:hint="eastAsia" w:asciiTheme="minorEastAsia" w:hAnsiTheme="minorEastAsia" w:eastAsiaTheme="minorEastAsia" w:cstheme="minorEastAsia"/>
          <w:bCs/>
          <w:sz w:val="28"/>
          <w:szCs w:val="28"/>
          <w:lang w:val="en-US" w:eastAsia="zh-CN"/>
        </w:rPr>
        <w:t>2</w:t>
      </w:r>
      <w:r>
        <w:rPr>
          <w:rFonts w:hint="eastAsia" w:asciiTheme="minorEastAsia" w:hAnsiTheme="minorEastAsia" w:eastAsiaTheme="minorEastAsia" w:cstheme="minorEastAsia"/>
          <w:bCs/>
          <w:sz w:val="28"/>
          <w:szCs w:val="28"/>
        </w:rPr>
        <w:t>年12月末，固定资产原值累计37260.43万元，累计折旧8567.85万元，帐面净值余额28692.57万元，均为在用固定资产。其中：202</w:t>
      </w:r>
      <w:r>
        <w:rPr>
          <w:rFonts w:hint="eastAsia" w:asciiTheme="minorEastAsia" w:hAnsiTheme="minorEastAsia" w:eastAsiaTheme="minorEastAsia" w:cstheme="minorEastAsia"/>
          <w:bCs/>
          <w:sz w:val="28"/>
          <w:szCs w:val="28"/>
          <w:lang w:val="en-US" w:eastAsia="zh-CN"/>
        </w:rPr>
        <w:t>2</w:t>
      </w:r>
      <w:r>
        <w:rPr>
          <w:rFonts w:hint="eastAsia" w:asciiTheme="minorEastAsia" w:hAnsiTheme="minorEastAsia" w:eastAsiaTheme="minorEastAsia" w:cstheme="minorEastAsia"/>
          <w:bCs/>
          <w:sz w:val="28"/>
          <w:szCs w:val="28"/>
        </w:rPr>
        <w:t>年新增固定资产29.06万元，主要增加电脑、打印机、办公桌及家具等办公用品。</w:t>
      </w:r>
    </w:p>
    <w:p>
      <w:pPr>
        <w:numPr>
          <w:ilvl w:val="0"/>
          <w:numId w:val="0"/>
        </w:numPr>
        <w:spacing w:line="360" w:lineRule="auto"/>
        <w:ind w:firstLine="560" w:firstLineChars="200"/>
        <w:rPr>
          <w:rFonts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lang w:val="en-US" w:eastAsia="zh-CN"/>
        </w:rPr>
        <w:t>2、</w:t>
      </w:r>
      <w:r>
        <w:rPr>
          <w:rFonts w:hint="eastAsia" w:asciiTheme="minorEastAsia" w:hAnsiTheme="minorEastAsia" w:eastAsiaTheme="minorEastAsia" w:cstheme="minorEastAsia"/>
          <w:b w:val="0"/>
          <w:bCs/>
          <w:sz w:val="28"/>
          <w:szCs w:val="28"/>
        </w:rPr>
        <w:t>固定资产管理情况</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按照例行节约、物尽其用的原则，资规局机关资产管理采取统一建帐、统一核算管理，对每件固定资产使用明确保管职责，闲置的资产，由办公室统一调整，合理流动，发挥其效益。固定资产均按规定的程序报政府采购管理办公室批准购置，严格按固定资产管理办法进行核算及管理。</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（二）重点项目组织实施情况</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2022年度，市自然资源和规划局机关实施的均为非基建项目，资金主要来源于财政专项拨款,项目预算588.80万元，资金来源为财政拨款，实际专项支出8009.50万元，，由局机关相关部门负责组织实施，各相关部门按照相关制度及管理办法操作；项目立项依据充分，进行了财政评审，对符合招投标条件的均进行了公开招投标；达到政府采购限额标准的严格按政府采购规定操作，严抓项目质量，做到严格实行公告制、合同制、招投标制、监理制和法人责任制；严把材料设备采购关、操作流程关；项目支出均按合同规定时间进度及质量要求支付，对于技术性强的土地综合整治及地质灾害防治工作，工程完工后，专门组织技术专家验收，听众专家意见，实行验收专家负责制。</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（三）内部管理及财务管理制度建设情况</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1、建立了专项资金财务管理制度。2019年省自然资源厅和省财政厅联合下发了专项资金管理办法。资规局严格遵照执行，并对局属各单位进行督查。</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实行资金跟踪监控。机关制订较完整内部管理规章制度及财务管理制度，对项目资金使用实行专户储存、专账核算、专款专用三专管理。全程接受财政等部门的监管，严格执行国库集中支付制度,确保专款专用,严防截留、挪用资金。</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健全财务管理机制。建立专项资金管理制度、领导责任制、会计制度和出纳制度等。制定了专项资金使用管理暂行办法、预算资金管理办法等制度,从资金取得—使用管理—用后监管都进行了规定,加强了专项资金使用过程的控制和追踪问效。严格执行国家各项财经纪律和财务制度。进一步加强和规范局机关资金使用审批程序和财务管理，提高资金使用效益，凡涉及政府采购的预算项目，严格按照《政府采购法》和《招投标法》的相关规定和程序执行。</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4、加强会计基础工作管理。要求会计科目设置规范,账务处理正确,入账依据充分,各种审批手续完备；严格按预算管理要求使用资金,严格按进度和合同拨付资金,严格执行政府采购制度；执行预决算管理要求。</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5、严格审批程序。按照"先报再审后用”的原则,由实施方提出申请,相关单位签署意见确认工程数量和资金额度,经财务科初审后,报局分管领导审批。</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（四）重大事项公开公示情况</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 自然资源和规划局官网对2022年度财政预算进行公示，2022年度决算情况暂未进行公示。</w:t>
      </w:r>
    </w:p>
    <w:p>
      <w:pPr>
        <w:spacing w:line="360" w:lineRule="auto"/>
        <w:ind w:firstLine="562"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五、部门整体支出绩效评价工作实施情况</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（一）绩效评价工作的目的</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通过绩效评价，全面了解工作目标是否合理；工作计划与实际完成情况之间的差异；管理制度健全性；实际人员与编制人员的控制比率；完成重点项目的力度；预算执行的完成率；支付进度率；“三公经费”控制率；政府采购执行率；资金使用合规性；资产管理利用率；社会效益、经济效益、服务对象满意率等。充分发挥财政资金的使用效益，更好地为国土资源事业服务。</w:t>
      </w:r>
    </w:p>
    <w:p>
      <w:pPr>
        <w:spacing w:line="360" w:lineRule="auto"/>
        <w:ind w:firstLine="562"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（二）绩效自评的主要依据</w:t>
      </w:r>
    </w:p>
    <w:p>
      <w:pPr>
        <w:spacing w:line="360" w:lineRule="auto"/>
        <w:ind w:firstLine="56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1、绩效评价相关依据：《中华人民共和国预算法》、湖南省财政厅关于印发《湖南省省级预算部门绩效自评操作规程》、岳阳市财政局《关于全面开展2022年市级预算支出绩效自评工作的通知》。</w:t>
      </w:r>
    </w:p>
    <w:p>
      <w:pPr>
        <w:spacing w:line="360" w:lineRule="auto"/>
        <w:ind w:firstLine="56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2、市自然资源和规划局相关资料：“三定”方案；</w:t>
      </w:r>
      <w:r>
        <w:rPr>
          <w:rFonts w:hint="eastAsia" w:asciiTheme="minorEastAsia" w:hAnsiTheme="minorEastAsia" w:eastAsiaTheme="minorEastAsia" w:cstheme="minorEastAsia"/>
          <w:sz w:val="28"/>
          <w:szCs w:val="28"/>
        </w:rPr>
        <w:t>市自然资源和规划局</w:t>
      </w:r>
      <w:r>
        <w:rPr>
          <w:rFonts w:hint="eastAsia" w:asciiTheme="minorEastAsia" w:hAnsiTheme="minorEastAsia" w:eastAsiaTheme="minorEastAsia" w:cstheme="minorEastAsia"/>
          <w:color w:val="000000"/>
          <w:kern w:val="0"/>
          <w:sz w:val="28"/>
          <w:szCs w:val="28"/>
        </w:rPr>
        <w:t>《</w:t>
      </w:r>
      <w:r>
        <w:rPr>
          <w:rFonts w:hint="eastAsia" w:asciiTheme="minorEastAsia" w:hAnsiTheme="minorEastAsia" w:eastAsiaTheme="minorEastAsia" w:cstheme="minorEastAsia"/>
          <w:bCs/>
          <w:sz w:val="28"/>
          <w:szCs w:val="28"/>
        </w:rPr>
        <w:t>2022年度工作总结及2022年工作思路》、市自然资源和规划局2022年决算报表</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3、相关行业政策、行业标准及专业技术规范；</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Cs/>
          <w:sz w:val="28"/>
          <w:szCs w:val="28"/>
        </w:rPr>
        <w:t>4、其他相关资料。</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w:t>
      </w:r>
      <w:r>
        <w:rPr>
          <w:rFonts w:hint="eastAsia" w:asciiTheme="minorEastAsia" w:hAnsiTheme="minorEastAsia" w:eastAsiaTheme="minorEastAsia" w:cstheme="minorEastAsia"/>
          <w:b/>
          <w:sz w:val="28"/>
          <w:szCs w:val="28"/>
          <w:lang w:val="en-US" w:eastAsia="zh-CN"/>
        </w:rPr>
        <w:t>三</w:t>
      </w:r>
      <w:r>
        <w:rPr>
          <w:rFonts w:hint="eastAsia" w:asciiTheme="minorEastAsia" w:hAnsiTheme="minorEastAsia" w:eastAsiaTheme="minorEastAsia" w:cstheme="minorEastAsia"/>
          <w:b/>
          <w:sz w:val="28"/>
          <w:szCs w:val="28"/>
        </w:rPr>
        <w:t>）部门整体支出评价原则、指标评价体系、评价方法</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1、部门整体支出评价原则</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遵循客观公正，操作简便高效，尊重客观实际，实事求是的原则。</w:t>
      </w:r>
    </w:p>
    <w:p>
      <w:pPr>
        <w:numPr>
          <w:ilvl w:val="0"/>
          <w:numId w:val="4"/>
        </w:num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部门整体支出指标评价体系</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指标体系包括共性指标和个性指标两部分，本次主要参照了财政部门制定的《部门整体支出绩效评价指标体系》的相关内容，根据部门具体情况对个性指标进行了调整细化，形成了《岳阳市202</w:t>
      </w:r>
      <w:r>
        <w:rPr>
          <w:rFonts w:hint="eastAsia" w:asciiTheme="minorEastAsia" w:hAnsiTheme="minorEastAsia" w:eastAsiaTheme="minorEastAsia" w:cstheme="minorEastAsia"/>
          <w:bCs/>
          <w:sz w:val="28"/>
          <w:szCs w:val="28"/>
          <w:lang w:val="en-US" w:eastAsia="zh-CN"/>
        </w:rPr>
        <w:t>2</w:t>
      </w:r>
      <w:r>
        <w:rPr>
          <w:rFonts w:hint="eastAsia" w:asciiTheme="minorEastAsia" w:hAnsiTheme="minorEastAsia" w:eastAsiaTheme="minorEastAsia" w:cstheme="minorEastAsia"/>
          <w:bCs/>
          <w:sz w:val="28"/>
          <w:szCs w:val="28"/>
        </w:rPr>
        <w:t>年度资规局整体支出绩效评价指标体系》。</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3、评分等级标准。</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评价等次分为优秀（S≧90）、良好（90&gt;S≧80）、合格（80&gt;S≧70）不合格S&lt;70）4个评价等次。</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4、本次绩效评价方法</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Cs/>
          <w:sz w:val="28"/>
          <w:szCs w:val="28"/>
        </w:rPr>
        <w:t>主要采取目标评价法、询问查证法及定性和定量相结合的方法进行评分；通过听取项目情况介绍，评价人员座谈交流等方式进行定性评分；制定评价指标，通过评价指标对项目进行定量评分。  </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w:t>
      </w:r>
      <w:r>
        <w:rPr>
          <w:rFonts w:hint="eastAsia" w:asciiTheme="minorEastAsia" w:hAnsiTheme="minorEastAsia" w:eastAsiaTheme="minorEastAsia" w:cstheme="minorEastAsia"/>
          <w:b/>
          <w:sz w:val="28"/>
          <w:szCs w:val="28"/>
          <w:lang w:val="en-US" w:eastAsia="zh-CN"/>
        </w:rPr>
        <w:t>四</w:t>
      </w:r>
      <w:r>
        <w:rPr>
          <w:rFonts w:hint="eastAsia" w:asciiTheme="minorEastAsia" w:hAnsiTheme="minorEastAsia" w:eastAsiaTheme="minorEastAsia" w:cstheme="minorEastAsia"/>
          <w:b/>
          <w:sz w:val="28"/>
          <w:szCs w:val="28"/>
        </w:rPr>
        <w:t>）绩效评价工作过程</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1、前期准备： 按照市财政对绩效评价的要求我单位成立了绩效评价小组，并进行职责分工，下发评价通知。根据资规局机关2022年工作重点及计划完成情况，制定的绩效评价工作方案，设计了绩效评价指标体系和问卷调查表。</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2、组织实施：评价小组核查202</w:t>
      </w:r>
      <w:r>
        <w:rPr>
          <w:rFonts w:hint="eastAsia" w:asciiTheme="minorEastAsia" w:hAnsiTheme="minorEastAsia" w:eastAsiaTheme="minorEastAsia" w:cstheme="minorEastAsia"/>
          <w:bCs/>
          <w:sz w:val="28"/>
          <w:szCs w:val="28"/>
          <w:lang w:val="en-US" w:eastAsia="zh-CN"/>
        </w:rPr>
        <w:t>2</w:t>
      </w:r>
      <w:r>
        <w:rPr>
          <w:rFonts w:hint="eastAsia" w:asciiTheme="minorEastAsia" w:hAnsiTheme="minorEastAsia" w:eastAsiaTheme="minorEastAsia" w:cstheme="minorEastAsia"/>
          <w:bCs/>
          <w:sz w:val="28"/>
          <w:szCs w:val="28"/>
        </w:rPr>
        <w:t>年岳阳市财政预算批复执行及部门整体支出情况，着重核查了“三公”经费及资产管理、内部控制制度情况，认真对照上级下达的目标任务及单位工作计划等文件，核实年度目标定性、定量目标任务完成情况，并按照绩效评价自评表分值进行自评分；通过财务数据分析当年收入、支出、结余情况，编制基础数据。</w:t>
      </w:r>
    </w:p>
    <w:p>
      <w:pPr>
        <w:pStyle w:val="2"/>
        <w:spacing w:line="360" w:lineRule="auto"/>
        <w:ind w:firstLine="56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3、撰写自评报告。评价小组根据绩效评价收集资料及数据，进行分析、核算、讨论、汇总，形成自评报告初稿，经相关领导审核后形成《岳阳市自然资源和规划局机关202</w:t>
      </w:r>
      <w:r>
        <w:rPr>
          <w:rFonts w:hint="eastAsia" w:asciiTheme="minorEastAsia" w:hAnsiTheme="minorEastAsia" w:eastAsiaTheme="minorEastAsia" w:cstheme="minorEastAsia"/>
          <w:bCs/>
          <w:sz w:val="28"/>
          <w:szCs w:val="28"/>
          <w:lang w:val="en-US" w:eastAsia="zh-CN"/>
        </w:rPr>
        <w:t>2</w:t>
      </w:r>
      <w:r>
        <w:rPr>
          <w:rFonts w:hint="eastAsia" w:asciiTheme="minorEastAsia" w:hAnsiTheme="minorEastAsia" w:eastAsiaTheme="minorEastAsia" w:cstheme="minorEastAsia"/>
          <w:bCs/>
          <w:sz w:val="28"/>
          <w:szCs w:val="28"/>
        </w:rPr>
        <w:t>年整体支出绩效自评报告》。</w:t>
      </w:r>
    </w:p>
    <w:p>
      <w:pPr>
        <w:spacing w:line="360" w:lineRule="auto"/>
        <w:ind w:firstLine="562" w:firstLineChars="200"/>
        <w:rPr>
          <w:rFonts w:asciiTheme="minorEastAsia" w:hAnsiTheme="minorEastAsia" w:eastAsiaTheme="minorEastAsia" w:cstheme="minorEastAsia"/>
          <w:b/>
          <w:sz w:val="28"/>
          <w:szCs w:val="28"/>
          <w:highlight w:val="yellow"/>
        </w:rPr>
      </w:pPr>
      <w:r>
        <w:rPr>
          <w:rFonts w:hint="eastAsia" w:asciiTheme="minorEastAsia" w:hAnsiTheme="minorEastAsia" w:eastAsiaTheme="minorEastAsia" w:cstheme="minorEastAsia"/>
          <w:b/>
          <w:sz w:val="28"/>
          <w:szCs w:val="28"/>
        </w:rPr>
        <w:t>六、整体支出评价结论</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202</w:t>
      </w:r>
      <w:r>
        <w:rPr>
          <w:rFonts w:hint="eastAsia" w:asciiTheme="minorEastAsia" w:hAnsiTheme="minorEastAsia" w:eastAsiaTheme="minorEastAsia" w:cstheme="minorEastAsia"/>
          <w:bCs/>
          <w:sz w:val="28"/>
          <w:szCs w:val="28"/>
          <w:lang w:val="en-US" w:eastAsia="zh-CN"/>
        </w:rPr>
        <w:t>2</w:t>
      </w:r>
      <w:r>
        <w:rPr>
          <w:rFonts w:hint="eastAsia" w:asciiTheme="minorEastAsia" w:hAnsiTheme="minorEastAsia" w:eastAsiaTheme="minorEastAsia" w:cstheme="minorEastAsia"/>
          <w:bCs/>
          <w:sz w:val="28"/>
          <w:szCs w:val="28"/>
        </w:rPr>
        <w:t>年市自然资源和规划局全体工作人员认真履行本部门职责职能，紧紧围绕部门全年工作重点，制订了详细、具体目标，较好地完成各项年度目标任务，全面推进自然资源各项工作高质量发展，具有良好社会效益、经济效益、生态环境效益。各项工作得到了省市机关的表彰，取得了丰硕成果。</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根据评价指标综合自评，得分为95分，评价等级确认为“优秀”。其中：</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1、年度预算执行10分，得分10分，  扣0分</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2、产出指标总分50分，得分50分，  扣0分</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3、效益指标总分30分，得分27分，  扣3分</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4、满意度指标10分，得分8分</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扣2分</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具体见《岳阳市自然资源和规划局（机关）整体支出绩效评价自评表》</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七、存在的主要问题及建议</w:t>
      </w:r>
    </w:p>
    <w:p>
      <w:pPr>
        <w:pStyle w:val="2"/>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    （一）存在问题</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1、绩效目标申报工作有待加强。2022年非基建项目较多，专项经费8009.50万元，仅对部分项目进行了绩效目标申报，对部分项目进行年度自评，应加强绩效管理理念。</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2、预算编制科学性、合理性有待提高。2022年市自然资源和规划局项目支出预算公开表总额为588.80万元，实际支出8009.5万元，预算与实际支出相差金额较大，预算编制科学性、合理性有待提高。</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Cs/>
          <w:sz w:val="28"/>
          <w:szCs w:val="28"/>
        </w:rPr>
        <w:t>3、实际在岗人数超编制人数。编委定编65人，实际岗位人数88人（包含借调部分二级机构人员），超编委定编人员23人，存在占用个别二级机构人力资源的现象。原因：自然资源局机构改革事多、事杂，机关工作人员不够，暂借用个别二级机构工作人员。</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（二）改进措施和有关建议</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提升绩效管理理念。年初绩效目标申请时注意覆盖主要工作职责，做到部门整体绩效目标与部门履职、年度工作任务相匹配，绩效指标应细化、量化、可衡量；加强对项目支出绩效目标管理，按绩效管理要求，项目资金拨付，应申请绩效目标，应纳入绩效目标考核绩效目标管理，提高绩效管理水平。</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加强项目支出的绩效自评。根据绩效管理要求，项目实施部门选择部分项目进行绩效自评，评价项目资金投入和使用情况，项目主要任务完成情况，项目绩效情况；通过自评，及时发现问题，及时整改，保障项目按时、按质、按量完成绩效目标。</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eastAsia="zh-CN"/>
        </w:rPr>
        <w:t>3</w:t>
      </w:r>
      <w:r>
        <w:rPr>
          <w:rFonts w:hint="eastAsia" w:asciiTheme="minorEastAsia" w:hAnsiTheme="minorEastAsia" w:eastAsiaTheme="minorEastAsia" w:cstheme="minorEastAsia"/>
          <w:bCs/>
          <w:sz w:val="28"/>
          <w:szCs w:val="28"/>
        </w:rPr>
        <w:t>、合理编制年度预算。参考上年度预算执行情况和本年度收支预测，制订科学合理的预算标准，将预算支出项目细化，遵循实事求是的原则，进一步提高预算的可执行性。</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八、其他需要说明的问题</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无其他需要说明的问题</w:t>
      </w:r>
    </w:p>
    <w:p>
      <w:pPr>
        <w:spacing w:line="360" w:lineRule="auto"/>
        <w:ind w:firstLine="560" w:firstLineChars="200"/>
        <w:rPr>
          <w:rFonts w:asciiTheme="minorEastAsia" w:hAnsiTheme="minorEastAsia" w:eastAsiaTheme="minorEastAsia" w:cstheme="minorEastAsia"/>
          <w:bCs/>
          <w:sz w:val="28"/>
          <w:szCs w:val="28"/>
        </w:rPr>
      </w:pP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附件1：基础数据表  </w:t>
      </w:r>
    </w:p>
    <w:p>
      <w:pPr>
        <w:spacing w:line="360" w:lineRule="auto"/>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附件2：整体支出自评表  </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Cs/>
          <w:sz w:val="28"/>
          <w:szCs w:val="28"/>
        </w:rPr>
        <w:t>附件3：上图入库项目支出自评表</w:t>
      </w:r>
    </w:p>
    <w:p>
      <w:pPr>
        <w:spacing w:line="360" w:lineRule="auto"/>
        <w:rPr>
          <w:rFonts w:ascii="宋体" w:hAnsi="宋体" w:cs="宋体"/>
          <w:bCs/>
          <w:sz w:val="28"/>
          <w:szCs w:val="28"/>
        </w:rPr>
      </w:pPr>
      <w:r>
        <w:rPr>
          <w:rFonts w:hint="eastAsia" w:ascii="宋体" w:hAnsi="宋体" w:cs="宋体"/>
          <w:bCs/>
          <w:sz w:val="28"/>
          <w:szCs w:val="28"/>
        </w:rPr>
        <w:t xml:space="preserve">    附件4：三区三线项目支出自评表</w:t>
      </w:r>
    </w:p>
    <w:p>
      <w:pPr>
        <w:spacing w:line="360" w:lineRule="auto"/>
        <w:ind w:firstLine="560" w:firstLineChars="200"/>
        <w:rPr>
          <w:rFonts w:ascii="宋体" w:hAnsi="宋体" w:cs="宋体"/>
          <w:bCs/>
          <w:sz w:val="28"/>
          <w:szCs w:val="28"/>
        </w:rPr>
      </w:pPr>
      <w:r>
        <w:rPr>
          <w:rFonts w:hint="eastAsia" w:ascii="宋体" w:hAnsi="宋体" w:cs="宋体"/>
          <w:bCs/>
          <w:sz w:val="28"/>
          <w:szCs w:val="28"/>
        </w:rPr>
        <w:t>附件5：绩效自评人员组成</w:t>
      </w:r>
    </w:p>
    <w:p>
      <w:r>
        <w:br w:type="page"/>
      </w:r>
    </w:p>
    <w:p>
      <w:pPr>
        <w:widowControl/>
        <w:kinsoku w:val="0"/>
        <w:autoSpaceDE w:val="0"/>
        <w:autoSpaceDN w:val="0"/>
        <w:adjustRightInd w:val="0"/>
        <w:snapToGrid w:val="0"/>
        <w:spacing w:before="104" w:line="224" w:lineRule="auto"/>
        <w:ind w:left="429"/>
        <w:jc w:val="left"/>
        <w:textAlignment w:val="baseline"/>
        <w:rPr>
          <w:rFonts w:ascii="黑体" w:hAnsi="黑体" w:eastAsia="黑体" w:cs="黑体"/>
          <w:snapToGrid w:val="0"/>
          <w:color w:val="000000"/>
          <w:kern w:val="0"/>
          <w:sz w:val="32"/>
          <w:szCs w:val="32"/>
        </w:rPr>
      </w:pPr>
      <w:r>
        <w:rPr>
          <w:rFonts w:ascii="黑体" w:hAnsi="黑体" w:eastAsia="黑体" w:cs="黑体"/>
          <w:b/>
          <w:bCs/>
          <w:snapToGrid w:val="0"/>
          <w:color w:val="000000"/>
          <w:spacing w:val="15"/>
          <w:kern w:val="0"/>
          <w:sz w:val="32"/>
          <w:szCs w:val="32"/>
        </w:rPr>
        <w:t>附件1</w:t>
      </w:r>
    </w:p>
    <w:p>
      <w:pPr>
        <w:widowControl/>
        <w:kinsoku w:val="0"/>
        <w:autoSpaceDE w:val="0"/>
        <w:autoSpaceDN w:val="0"/>
        <w:adjustRightInd w:val="0"/>
        <w:snapToGrid w:val="0"/>
        <w:spacing w:line="256" w:lineRule="auto"/>
        <w:jc w:val="left"/>
        <w:textAlignment w:val="baseline"/>
        <w:rPr>
          <w:rFonts w:ascii="Arial" w:hAnsi="Arial" w:cs="Arial"/>
          <w:snapToGrid w:val="0"/>
          <w:color w:val="000000"/>
          <w:kern w:val="0"/>
          <w:szCs w:val="21"/>
        </w:rPr>
      </w:pPr>
    </w:p>
    <w:p>
      <w:pPr>
        <w:widowControl/>
        <w:kinsoku w:val="0"/>
        <w:autoSpaceDE w:val="0"/>
        <w:autoSpaceDN w:val="0"/>
        <w:adjustRightInd w:val="0"/>
        <w:snapToGrid w:val="0"/>
        <w:spacing w:before="117" w:line="218" w:lineRule="auto"/>
        <w:jc w:val="center"/>
        <w:textAlignment w:val="baseline"/>
        <w:rPr>
          <w:rFonts w:ascii="宋体" w:hAnsi="宋体" w:eastAsia="宋体" w:cs="宋体"/>
          <w:snapToGrid w:val="0"/>
          <w:color w:val="000000"/>
          <w:kern w:val="0"/>
          <w:sz w:val="36"/>
          <w:szCs w:val="36"/>
        </w:rPr>
      </w:pPr>
      <w:r>
        <w:rPr>
          <w:rFonts w:ascii="宋体" w:hAnsi="宋体" w:eastAsia="宋体" w:cs="宋体"/>
          <w:b/>
          <w:bCs/>
          <w:snapToGrid w:val="0"/>
          <w:color w:val="000000"/>
          <w:spacing w:val="1"/>
          <w:kern w:val="0"/>
          <w:sz w:val="36"/>
          <w:szCs w:val="36"/>
        </w:rPr>
        <w:t>2022年度</w:t>
      </w:r>
      <w:r>
        <w:rPr>
          <w:rFonts w:hint="eastAsia" w:ascii="宋体" w:hAnsi="宋体" w:cs="宋体"/>
          <w:b/>
          <w:bCs/>
          <w:snapToGrid w:val="0"/>
          <w:color w:val="000000"/>
          <w:spacing w:val="1"/>
          <w:kern w:val="0"/>
          <w:sz w:val="36"/>
          <w:szCs w:val="36"/>
        </w:rPr>
        <w:t>市资规局</w:t>
      </w:r>
      <w:r>
        <w:rPr>
          <w:rFonts w:ascii="宋体" w:hAnsi="宋体" w:eastAsia="宋体" w:cs="宋体"/>
          <w:b/>
          <w:bCs/>
          <w:snapToGrid w:val="0"/>
          <w:color w:val="000000"/>
          <w:spacing w:val="1"/>
          <w:kern w:val="0"/>
          <w:sz w:val="36"/>
          <w:szCs w:val="36"/>
        </w:rPr>
        <w:t>整体支出绩效评价基础数据表</w:t>
      </w:r>
    </w:p>
    <w:p>
      <w:pPr>
        <w:widowControl/>
        <w:kinsoku w:val="0"/>
        <w:autoSpaceDE w:val="0"/>
        <w:autoSpaceDN w:val="0"/>
        <w:adjustRightInd w:val="0"/>
        <w:snapToGrid w:val="0"/>
        <w:spacing w:line="203" w:lineRule="exact"/>
        <w:jc w:val="left"/>
        <w:textAlignment w:val="baseline"/>
        <w:rPr>
          <w:rFonts w:ascii="Arial" w:hAnsi="Arial" w:cs="Arial"/>
          <w:snapToGrid w:val="0"/>
          <w:color w:val="000000"/>
          <w:kern w:val="0"/>
          <w:szCs w:val="21"/>
        </w:rPr>
      </w:pPr>
    </w:p>
    <w:tbl>
      <w:tblPr>
        <w:tblStyle w:val="8"/>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1"/>
        <w:gridCol w:w="1179"/>
        <w:gridCol w:w="849"/>
        <w:gridCol w:w="1128"/>
        <w:gridCol w:w="1109"/>
        <w:gridCol w:w="1069"/>
        <w:gridCol w:w="9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jc w:val="center"/>
        </w:trPr>
        <w:tc>
          <w:tcPr>
            <w:tcW w:w="3341" w:type="dxa"/>
            <w:vMerge w:val="restart"/>
            <w:noWrap w:val="0"/>
            <w:vAlign w:val="top"/>
          </w:tcPr>
          <w:p>
            <w:pPr>
              <w:widowControl/>
              <w:kinsoku w:val="0"/>
              <w:autoSpaceDE w:val="0"/>
              <w:autoSpaceDN w:val="0"/>
              <w:adjustRightInd w:val="0"/>
              <w:snapToGrid w:val="0"/>
              <w:spacing w:before="272" w:line="219" w:lineRule="auto"/>
              <w:ind w:left="554"/>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财政供养人员情况(人)</w:t>
            </w:r>
          </w:p>
        </w:tc>
        <w:tc>
          <w:tcPr>
            <w:tcW w:w="2028" w:type="dxa"/>
            <w:gridSpan w:val="2"/>
            <w:noWrap w:val="0"/>
            <w:vAlign w:val="top"/>
          </w:tcPr>
          <w:p>
            <w:pPr>
              <w:widowControl/>
              <w:kinsoku w:val="0"/>
              <w:autoSpaceDE w:val="0"/>
              <w:autoSpaceDN w:val="0"/>
              <w:adjustRightInd w:val="0"/>
              <w:snapToGrid w:val="0"/>
              <w:spacing w:before="100" w:line="219" w:lineRule="auto"/>
              <w:ind w:left="706"/>
              <w:jc w:val="left"/>
              <w:textAlignment w:val="baseline"/>
              <w:rPr>
                <w:rFonts w:ascii="宋体" w:hAnsi="宋体" w:eastAsia="宋体" w:cs="宋体"/>
                <w:snapToGrid w:val="0"/>
                <w:color w:val="000000"/>
                <w:kern w:val="0"/>
                <w:sz w:val="20"/>
                <w:szCs w:val="20"/>
              </w:rPr>
            </w:pPr>
            <w:r>
              <w:rPr>
                <w:rFonts w:ascii="宋体" w:hAnsi="宋体" w:eastAsia="宋体" w:cs="宋体"/>
                <w:b/>
                <w:bCs/>
                <w:snapToGrid w:val="0"/>
                <w:color w:val="000000"/>
                <w:spacing w:val="-5"/>
                <w:kern w:val="0"/>
                <w:sz w:val="20"/>
                <w:szCs w:val="20"/>
              </w:rPr>
              <w:t>编制数</w:t>
            </w:r>
          </w:p>
        </w:tc>
        <w:tc>
          <w:tcPr>
            <w:tcW w:w="2237" w:type="dxa"/>
            <w:gridSpan w:val="2"/>
            <w:noWrap w:val="0"/>
            <w:vAlign w:val="top"/>
          </w:tcPr>
          <w:p>
            <w:pPr>
              <w:widowControl/>
              <w:kinsoku w:val="0"/>
              <w:autoSpaceDE w:val="0"/>
              <w:autoSpaceDN w:val="0"/>
              <w:adjustRightInd w:val="0"/>
              <w:snapToGrid w:val="0"/>
              <w:spacing w:before="83" w:line="219" w:lineRule="auto"/>
              <w:ind w:left="215"/>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1"/>
                <w:kern w:val="0"/>
                <w:sz w:val="20"/>
                <w:szCs w:val="20"/>
              </w:rPr>
              <w:t>2022年实际在职人数</w:t>
            </w:r>
          </w:p>
        </w:tc>
        <w:tc>
          <w:tcPr>
            <w:tcW w:w="2033" w:type="dxa"/>
            <w:gridSpan w:val="2"/>
            <w:noWrap w:val="0"/>
            <w:vAlign w:val="top"/>
          </w:tcPr>
          <w:p>
            <w:pPr>
              <w:widowControl/>
              <w:kinsoku w:val="0"/>
              <w:autoSpaceDE w:val="0"/>
              <w:autoSpaceDN w:val="0"/>
              <w:adjustRightInd w:val="0"/>
              <w:snapToGrid w:val="0"/>
              <w:spacing w:before="83" w:line="219" w:lineRule="auto"/>
              <w:ind w:left="708"/>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控制率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3341" w:type="dxa"/>
            <w:vMerge w:val="continue"/>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2028"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65</w:t>
            </w:r>
          </w:p>
        </w:tc>
        <w:tc>
          <w:tcPr>
            <w:tcW w:w="2237"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 xml:space="preserve">      88</w:t>
            </w:r>
          </w:p>
        </w:tc>
        <w:tc>
          <w:tcPr>
            <w:tcW w:w="2033"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 xml:space="preserve">      135.38%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3341" w:type="dxa"/>
            <w:noWrap w:val="0"/>
            <w:vAlign w:val="top"/>
          </w:tcPr>
          <w:p>
            <w:pPr>
              <w:widowControl/>
              <w:kinsoku w:val="0"/>
              <w:autoSpaceDE w:val="0"/>
              <w:autoSpaceDN w:val="0"/>
              <w:adjustRightInd w:val="0"/>
              <w:snapToGrid w:val="0"/>
              <w:spacing w:before="79" w:line="220" w:lineRule="auto"/>
              <w:ind w:left="674"/>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4"/>
                <w:kern w:val="0"/>
                <w:sz w:val="20"/>
                <w:szCs w:val="20"/>
              </w:rPr>
              <w:t>经费控制情况(万元)</w:t>
            </w:r>
          </w:p>
        </w:tc>
        <w:tc>
          <w:tcPr>
            <w:tcW w:w="2028" w:type="dxa"/>
            <w:gridSpan w:val="2"/>
            <w:noWrap w:val="0"/>
            <w:vAlign w:val="top"/>
          </w:tcPr>
          <w:p>
            <w:pPr>
              <w:widowControl/>
              <w:kinsoku w:val="0"/>
              <w:autoSpaceDE w:val="0"/>
              <w:autoSpaceDN w:val="0"/>
              <w:adjustRightInd w:val="0"/>
              <w:snapToGrid w:val="0"/>
              <w:spacing w:before="96" w:line="219" w:lineRule="auto"/>
              <w:ind w:left="406"/>
              <w:jc w:val="left"/>
              <w:textAlignment w:val="baseline"/>
              <w:rPr>
                <w:rFonts w:ascii="宋体" w:hAnsi="宋体" w:eastAsia="宋体" w:cs="宋体"/>
                <w:snapToGrid w:val="0"/>
                <w:color w:val="000000"/>
                <w:kern w:val="0"/>
                <w:sz w:val="20"/>
                <w:szCs w:val="20"/>
              </w:rPr>
            </w:pPr>
            <w:r>
              <w:rPr>
                <w:rFonts w:ascii="宋体" w:hAnsi="宋体" w:eastAsia="宋体" w:cs="宋体"/>
                <w:b/>
                <w:bCs/>
                <w:snapToGrid w:val="0"/>
                <w:color w:val="000000"/>
                <w:spacing w:val="-4"/>
                <w:kern w:val="0"/>
                <w:sz w:val="20"/>
                <w:szCs w:val="20"/>
              </w:rPr>
              <w:t>2021年决算数</w:t>
            </w:r>
          </w:p>
        </w:tc>
        <w:tc>
          <w:tcPr>
            <w:tcW w:w="2237" w:type="dxa"/>
            <w:gridSpan w:val="2"/>
            <w:noWrap w:val="0"/>
            <w:vAlign w:val="top"/>
          </w:tcPr>
          <w:p>
            <w:pPr>
              <w:widowControl/>
              <w:kinsoku w:val="0"/>
              <w:autoSpaceDE w:val="0"/>
              <w:autoSpaceDN w:val="0"/>
              <w:adjustRightInd w:val="0"/>
              <w:snapToGrid w:val="0"/>
              <w:spacing w:before="99" w:line="219" w:lineRule="auto"/>
              <w:ind w:left="515"/>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2022年预算数</w:t>
            </w:r>
          </w:p>
        </w:tc>
        <w:tc>
          <w:tcPr>
            <w:tcW w:w="2033" w:type="dxa"/>
            <w:gridSpan w:val="2"/>
            <w:noWrap w:val="0"/>
            <w:vAlign w:val="top"/>
          </w:tcPr>
          <w:p>
            <w:pPr>
              <w:widowControl/>
              <w:kinsoku w:val="0"/>
              <w:autoSpaceDE w:val="0"/>
              <w:autoSpaceDN w:val="0"/>
              <w:adjustRightInd w:val="0"/>
              <w:snapToGrid w:val="0"/>
              <w:spacing w:before="79" w:line="219" w:lineRule="auto"/>
              <w:ind w:left="408"/>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2022年决算数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3341" w:type="dxa"/>
            <w:noWrap w:val="0"/>
            <w:vAlign w:val="top"/>
          </w:tcPr>
          <w:p>
            <w:pPr>
              <w:widowControl/>
              <w:kinsoku w:val="0"/>
              <w:autoSpaceDE w:val="0"/>
              <w:autoSpaceDN w:val="0"/>
              <w:adjustRightInd w:val="0"/>
              <w:snapToGrid w:val="0"/>
              <w:spacing w:before="79" w:line="220" w:lineRule="auto"/>
              <w:ind w:left="94"/>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三公经费</w:t>
            </w:r>
          </w:p>
        </w:tc>
        <w:tc>
          <w:tcPr>
            <w:tcW w:w="2028"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56.96</w:t>
            </w:r>
          </w:p>
        </w:tc>
        <w:tc>
          <w:tcPr>
            <w:tcW w:w="2237"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41</w:t>
            </w:r>
          </w:p>
        </w:tc>
        <w:tc>
          <w:tcPr>
            <w:tcW w:w="2033"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63.44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3341" w:type="dxa"/>
            <w:noWrap w:val="0"/>
            <w:vAlign w:val="top"/>
          </w:tcPr>
          <w:p>
            <w:pPr>
              <w:widowControl/>
              <w:kinsoku w:val="0"/>
              <w:autoSpaceDE w:val="0"/>
              <w:autoSpaceDN w:val="0"/>
              <w:adjustRightInd w:val="0"/>
              <w:snapToGrid w:val="0"/>
              <w:spacing w:before="140" w:line="203" w:lineRule="auto"/>
              <w:ind w:left="354"/>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kern w:val="0"/>
                <w:sz w:val="20"/>
                <w:szCs w:val="20"/>
              </w:rPr>
              <w:t>1、公务用车购置和维护经费</w:t>
            </w:r>
          </w:p>
        </w:tc>
        <w:tc>
          <w:tcPr>
            <w:tcW w:w="2028"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33.76</w:t>
            </w:r>
          </w:p>
        </w:tc>
        <w:tc>
          <w:tcPr>
            <w:tcW w:w="2237"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2033"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47.72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3341" w:type="dxa"/>
            <w:noWrap w:val="0"/>
            <w:vAlign w:val="top"/>
          </w:tcPr>
          <w:p>
            <w:pPr>
              <w:widowControl/>
              <w:kinsoku w:val="0"/>
              <w:autoSpaceDE w:val="0"/>
              <w:autoSpaceDN w:val="0"/>
              <w:adjustRightInd w:val="0"/>
              <w:snapToGrid w:val="0"/>
              <w:spacing w:before="130" w:line="211" w:lineRule="auto"/>
              <w:ind w:left="784"/>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其中：公车购置</w:t>
            </w:r>
          </w:p>
        </w:tc>
        <w:tc>
          <w:tcPr>
            <w:tcW w:w="2028"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0</w:t>
            </w:r>
          </w:p>
        </w:tc>
        <w:tc>
          <w:tcPr>
            <w:tcW w:w="2237"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2033"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3341" w:type="dxa"/>
            <w:noWrap w:val="0"/>
            <w:vAlign w:val="top"/>
          </w:tcPr>
          <w:p>
            <w:pPr>
              <w:widowControl/>
              <w:kinsoku w:val="0"/>
              <w:autoSpaceDE w:val="0"/>
              <w:autoSpaceDN w:val="0"/>
              <w:adjustRightInd w:val="0"/>
              <w:snapToGrid w:val="0"/>
              <w:spacing w:before="81" w:line="219" w:lineRule="auto"/>
              <w:ind w:left="1374"/>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公车运行维护</w:t>
            </w:r>
          </w:p>
        </w:tc>
        <w:tc>
          <w:tcPr>
            <w:tcW w:w="2028"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33.76</w:t>
            </w:r>
          </w:p>
        </w:tc>
        <w:tc>
          <w:tcPr>
            <w:tcW w:w="2237"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24</w:t>
            </w:r>
          </w:p>
        </w:tc>
        <w:tc>
          <w:tcPr>
            <w:tcW w:w="2033"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47.72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3341" w:type="dxa"/>
            <w:noWrap w:val="0"/>
            <w:vAlign w:val="top"/>
          </w:tcPr>
          <w:p>
            <w:pPr>
              <w:widowControl/>
              <w:kinsoku w:val="0"/>
              <w:autoSpaceDE w:val="0"/>
              <w:autoSpaceDN w:val="0"/>
              <w:adjustRightInd w:val="0"/>
              <w:snapToGrid w:val="0"/>
              <w:spacing w:before="131" w:line="210" w:lineRule="auto"/>
              <w:ind w:left="354"/>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2、出国经费</w:t>
            </w:r>
          </w:p>
        </w:tc>
        <w:tc>
          <w:tcPr>
            <w:tcW w:w="2028"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0</w:t>
            </w:r>
          </w:p>
        </w:tc>
        <w:tc>
          <w:tcPr>
            <w:tcW w:w="2237"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0</w:t>
            </w:r>
          </w:p>
        </w:tc>
        <w:tc>
          <w:tcPr>
            <w:tcW w:w="2033"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3341" w:type="dxa"/>
            <w:noWrap w:val="0"/>
            <w:vAlign w:val="top"/>
          </w:tcPr>
          <w:p>
            <w:pPr>
              <w:widowControl/>
              <w:kinsoku w:val="0"/>
              <w:autoSpaceDE w:val="0"/>
              <w:autoSpaceDN w:val="0"/>
              <w:adjustRightInd w:val="0"/>
              <w:snapToGrid w:val="0"/>
              <w:spacing w:before="92" w:line="219" w:lineRule="auto"/>
              <w:ind w:left="354"/>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1"/>
                <w:kern w:val="0"/>
                <w:sz w:val="20"/>
                <w:szCs w:val="20"/>
              </w:rPr>
              <w:t>3、公务接待</w:t>
            </w:r>
          </w:p>
        </w:tc>
        <w:tc>
          <w:tcPr>
            <w:tcW w:w="2028"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23.21</w:t>
            </w:r>
          </w:p>
        </w:tc>
        <w:tc>
          <w:tcPr>
            <w:tcW w:w="2237"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17</w:t>
            </w:r>
          </w:p>
        </w:tc>
        <w:tc>
          <w:tcPr>
            <w:tcW w:w="2033"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15.72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3341" w:type="dxa"/>
            <w:noWrap w:val="0"/>
            <w:vAlign w:val="top"/>
          </w:tcPr>
          <w:p>
            <w:pPr>
              <w:widowControl/>
              <w:kinsoku w:val="0"/>
              <w:autoSpaceDE w:val="0"/>
              <w:autoSpaceDN w:val="0"/>
              <w:adjustRightInd w:val="0"/>
              <w:snapToGrid w:val="0"/>
              <w:spacing w:before="143" w:line="200" w:lineRule="auto"/>
              <w:ind w:left="104"/>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19"/>
                <w:kern w:val="0"/>
                <w:sz w:val="20"/>
                <w:szCs w:val="20"/>
              </w:rPr>
              <w:t>项目支出：</w:t>
            </w:r>
          </w:p>
        </w:tc>
        <w:tc>
          <w:tcPr>
            <w:tcW w:w="2028"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4823.58</w:t>
            </w:r>
          </w:p>
        </w:tc>
        <w:tc>
          <w:tcPr>
            <w:tcW w:w="2237"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588.8</w:t>
            </w:r>
          </w:p>
        </w:tc>
        <w:tc>
          <w:tcPr>
            <w:tcW w:w="2033"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8009.50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3341" w:type="dxa"/>
            <w:noWrap w:val="0"/>
            <w:vAlign w:val="top"/>
          </w:tcPr>
          <w:p>
            <w:pPr>
              <w:widowControl/>
              <w:kinsoku w:val="0"/>
              <w:autoSpaceDE w:val="0"/>
              <w:autoSpaceDN w:val="0"/>
              <w:adjustRightInd w:val="0"/>
              <w:snapToGrid w:val="0"/>
              <w:spacing w:before="82" w:line="219" w:lineRule="auto"/>
              <w:ind w:left="354"/>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1"/>
                <w:kern w:val="0"/>
                <w:sz w:val="20"/>
                <w:szCs w:val="20"/>
              </w:rPr>
              <w:t>1、业务工作经费</w:t>
            </w:r>
          </w:p>
        </w:tc>
        <w:tc>
          <w:tcPr>
            <w:tcW w:w="2028"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4823.58</w:t>
            </w:r>
          </w:p>
        </w:tc>
        <w:tc>
          <w:tcPr>
            <w:tcW w:w="2237"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585.28</w:t>
            </w:r>
          </w:p>
        </w:tc>
        <w:tc>
          <w:tcPr>
            <w:tcW w:w="2033"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3341" w:type="dxa"/>
            <w:noWrap w:val="0"/>
            <w:vAlign w:val="top"/>
          </w:tcPr>
          <w:p>
            <w:pPr>
              <w:widowControl/>
              <w:kinsoku w:val="0"/>
              <w:autoSpaceDE w:val="0"/>
              <w:autoSpaceDN w:val="0"/>
              <w:adjustRightInd w:val="0"/>
              <w:snapToGrid w:val="0"/>
              <w:spacing w:before="133" w:line="209" w:lineRule="auto"/>
              <w:ind w:left="354"/>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1"/>
                <w:kern w:val="0"/>
                <w:sz w:val="20"/>
                <w:szCs w:val="20"/>
              </w:rPr>
              <w:t>2、运行维护经费</w:t>
            </w:r>
          </w:p>
        </w:tc>
        <w:tc>
          <w:tcPr>
            <w:tcW w:w="2028"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2237"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3.52</w:t>
            </w:r>
          </w:p>
        </w:tc>
        <w:tc>
          <w:tcPr>
            <w:tcW w:w="2033"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3341"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2028"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2237"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2033"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3341" w:type="dxa"/>
            <w:noWrap w:val="0"/>
            <w:vAlign w:val="top"/>
          </w:tcPr>
          <w:p>
            <w:pPr>
              <w:widowControl/>
              <w:kinsoku w:val="0"/>
              <w:autoSpaceDE w:val="0"/>
              <w:autoSpaceDN w:val="0"/>
              <w:adjustRightInd w:val="0"/>
              <w:snapToGrid w:val="0"/>
              <w:spacing w:before="144" w:line="199" w:lineRule="auto"/>
              <w:ind w:left="113" w:leftChars="54" w:firstLine="204" w:firstLineChars="10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3、市级专项资金(一个专项一行)</w:t>
            </w:r>
          </w:p>
        </w:tc>
        <w:tc>
          <w:tcPr>
            <w:tcW w:w="2028"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2237"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2033"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3341"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2028"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2237"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2033"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3341" w:type="dxa"/>
            <w:noWrap w:val="0"/>
            <w:vAlign w:val="top"/>
          </w:tcPr>
          <w:p>
            <w:pPr>
              <w:widowControl/>
              <w:kinsoku w:val="0"/>
              <w:autoSpaceDE w:val="0"/>
              <w:autoSpaceDN w:val="0"/>
              <w:adjustRightInd w:val="0"/>
              <w:snapToGrid w:val="0"/>
              <w:spacing w:before="145" w:line="207" w:lineRule="auto"/>
              <w:ind w:left="104"/>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公用经费</w:t>
            </w:r>
          </w:p>
        </w:tc>
        <w:tc>
          <w:tcPr>
            <w:tcW w:w="2028"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p>
        </w:tc>
        <w:tc>
          <w:tcPr>
            <w:tcW w:w="2237"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243.52</w:t>
            </w:r>
          </w:p>
        </w:tc>
        <w:tc>
          <w:tcPr>
            <w:tcW w:w="2033"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2640.81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3341" w:type="dxa"/>
            <w:noWrap w:val="0"/>
            <w:vAlign w:val="top"/>
          </w:tcPr>
          <w:p>
            <w:pPr>
              <w:widowControl/>
              <w:kinsoku w:val="0"/>
              <w:autoSpaceDE w:val="0"/>
              <w:autoSpaceDN w:val="0"/>
              <w:adjustRightInd w:val="0"/>
              <w:snapToGrid w:val="0"/>
              <w:spacing w:before="144" w:line="208" w:lineRule="auto"/>
              <w:ind w:left="354"/>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1"/>
                <w:kern w:val="0"/>
                <w:sz w:val="20"/>
                <w:szCs w:val="20"/>
              </w:rPr>
              <w:t>其中：办公经费</w:t>
            </w:r>
          </w:p>
        </w:tc>
        <w:tc>
          <w:tcPr>
            <w:tcW w:w="2028"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p>
        </w:tc>
        <w:tc>
          <w:tcPr>
            <w:tcW w:w="2237"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114.54</w:t>
            </w:r>
          </w:p>
        </w:tc>
        <w:tc>
          <w:tcPr>
            <w:tcW w:w="2033"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190.72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jc w:val="center"/>
        </w:trPr>
        <w:tc>
          <w:tcPr>
            <w:tcW w:w="3341" w:type="dxa"/>
            <w:noWrap w:val="0"/>
            <w:vAlign w:val="top"/>
          </w:tcPr>
          <w:p>
            <w:pPr>
              <w:widowControl/>
              <w:kinsoku w:val="0"/>
              <w:autoSpaceDE w:val="0"/>
              <w:autoSpaceDN w:val="0"/>
              <w:adjustRightInd w:val="0"/>
              <w:snapToGrid w:val="0"/>
              <w:spacing w:before="145" w:line="188" w:lineRule="auto"/>
              <w:ind w:left="1104"/>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1"/>
                <w:kern w:val="0"/>
                <w:sz w:val="20"/>
                <w:szCs w:val="20"/>
              </w:rPr>
              <w:t>水费、电费、差旅费</w:t>
            </w:r>
          </w:p>
        </w:tc>
        <w:tc>
          <w:tcPr>
            <w:tcW w:w="2028"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2237"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0</w:t>
            </w:r>
          </w:p>
        </w:tc>
        <w:tc>
          <w:tcPr>
            <w:tcW w:w="2033"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478.17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3341" w:type="dxa"/>
            <w:noWrap w:val="0"/>
            <w:vAlign w:val="top"/>
          </w:tcPr>
          <w:p>
            <w:pPr>
              <w:widowControl/>
              <w:kinsoku w:val="0"/>
              <w:autoSpaceDE w:val="0"/>
              <w:autoSpaceDN w:val="0"/>
              <w:adjustRightInd w:val="0"/>
              <w:snapToGrid w:val="0"/>
              <w:spacing w:before="145" w:line="198" w:lineRule="auto"/>
              <w:ind w:left="1104"/>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1"/>
                <w:kern w:val="0"/>
                <w:sz w:val="20"/>
                <w:szCs w:val="20"/>
              </w:rPr>
              <w:t>会议费、培训费</w:t>
            </w:r>
          </w:p>
        </w:tc>
        <w:tc>
          <w:tcPr>
            <w:tcW w:w="2028"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2237"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0</w:t>
            </w:r>
          </w:p>
        </w:tc>
        <w:tc>
          <w:tcPr>
            <w:tcW w:w="2033"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32.35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3341" w:type="dxa"/>
            <w:noWrap w:val="0"/>
            <w:vAlign w:val="top"/>
          </w:tcPr>
          <w:p>
            <w:pPr>
              <w:widowControl/>
              <w:kinsoku w:val="0"/>
              <w:autoSpaceDE w:val="0"/>
              <w:autoSpaceDN w:val="0"/>
              <w:adjustRightInd w:val="0"/>
              <w:snapToGrid w:val="0"/>
              <w:spacing w:before="145" w:line="207" w:lineRule="auto"/>
              <w:ind w:left="104"/>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1"/>
                <w:kern w:val="0"/>
                <w:sz w:val="20"/>
                <w:szCs w:val="20"/>
              </w:rPr>
              <w:t>政府采购金额</w:t>
            </w:r>
          </w:p>
        </w:tc>
        <w:tc>
          <w:tcPr>
            <w:tcW w:w="2028"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2237"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4424.30</w:t>
            </w:r>
          </w:p>
        </w:tc>
        <w:tc>
          <w:tcPr>
            <w:tcW w:w="2033"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3341" w:type="dxa"/>
            <w:noWrap w:val="0"/>
            <w:vAlign w:val="top"/>
          </w:tcPr>
          <w:p>
            <w:pPr>
              <w:widowControl/>
              <w:kinsoku w:val="0"/>
              <w:autoSpaceDE w:val="0"/>
              <w:autoSpaceDN w:val="0"/>
              <w:adjustRightInd w:val="0"/>
              <w:snapToGrid w:val="0"/>
              <w:spacing w:before="145" w:line="207" w:lineRule="auto"/>
              <w:ind w:left="114"/>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1"/>
                <w:kern w:val="0"/>
                <w:sz w:val="20"/>
                <w:szCs w:val="20"/>
              </w:rPr>
              <w:t>部门基本支出预算调整</w:t>
            </w:r>
          </w:p>
        </w:tc>
        <w:tc>
          <w:tcPr>
            <w:tcW w:w="2028"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2237"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2033"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jc w:val="center"/>
        </w:trPr>
        <w:tc>
          <w:tcPr>
            <w:tcW w:w="3341" w:type="dxa"/>
            <w:vMerge w:val="restart"/>
            <w:noWrap w:val="0"/>
            <w:vAlign w:val="top"/>
          </w:tcPr>
          <w:p>
            <w:pPr>
              <w:widowControl/>
              <w:kinsoku w:val="0"/>
              <w:autoSpaceDE w:val="0"/>
              <w:autoSpaceDN w:val="0"/>
              <w:adjustRightInd w:val="0"/>
              <w:snapToGrid w:val="0"/>
              <w:spacing w:line="428" w:lineRule="auto"/>
              <w:jc w:val="left"/>
              <w:textAlignment w:val="baseline"/>
              <w:rPr>
                <w:rFonts w:ascii="Arial" w:hAnsi="Arial" w:cs="Arial"/>
                <w:snapToGrid w:val="0"/>
                <w:color w:val="000000"/>
                <w:kern w:val="0"/>
                <w:szCs w:val="21"/>
              </w:rPr>
            </w:pPr>
          </w:p>
          <w:p>
            <w:pPr>
              <w:widowControl/>
              <w:kinsoku w:val="0"/>
              <w:autoSpaceDE w:val="0"/>
              <w:autoSpaceDN w:val="0"/>
              <w:adjustRightInd w:val="0"/>
              <w:snapToGrid w:val="0"/>
              <w:spacing w:before="65" w:line="350" w:lineRule="exact"/>
              <w:ind w:left="854"/>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1"/>
                <w:kern w:val="0"/>
                <w:position w:val="11"/>
                <w:sz w:val="20"/>
                <w:szCs w:val="20"/>
              </w:rPr>
              <w:t>楼堂馆所控制情况</w:t>
            </w:r>
          </w:p>
          <w:p>
            <w:pPr>
              <w:widowControl/>
              <w:kinsoku w:val="0"/>
              <w:autoSpaceDE w:val="0"/>
              <w:autoSpaceDN w:val="0"/>
              <w:adjustRightInd w:val="0"/>
              <w:snapToGrid w:val="0"/>
              <w:spacing w:line="219" w:lineRule="auto"/>
              <w:ind w:left="814"/>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(2022年完工项目)</w:t>
            </w:r>
          </w:p>
        </w:tc>
        <w:tc>
          <w:tcPr>
            <w:tcW w:w="1179" w:type="dxa"/>
            <w:noWrap w:val="0"/>
            <w:vAlign w:val="top"/>
          </w:tcPr>
          <w:p>
            <w:pPr>
              <w:widowControl/>
              <w:kinsoku w:val="0"/>
              <w:autoSpaceDE w:val="0"/>
              <w:autoSpaceDN w:val="0"/>
              <w:adjustRightInd w:val="0"/>
              <w:snapToGrid w:val="0"/>
              <w:spacing w:before="306" w:line="274" w:lineRule="auto"/>
              <w:ind w:left="333" w:right="192" w:hanging="15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批复规模</w:t>
            </w:r>
            <w:r>
              <w:rPr>
                <w:rFonts w:ascii="宋体" w:hAnsi="宋体" w:eastAsia="宋体" w:cs="宋体"/>
                <w:snapToGrid w:val="0"/>
                <w:color w:val="000000"/>
                <w:spacing w:val="-9"/>
                <w:kern w:val="0"/>
                <w:sz w:val="20"/>
                <w:szCs w:val="20"/>
              </w:rPr>
              <w:t>(m²)</w:t>
            </w:r>
          </w:p>
        </w:tc>
        <w:tc>
          <w:tcPr>
            <w:tcW w:w="849"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p>
            <w:pPr>
              <w:widowControl/>
              <w:kinsoku w:val="0"/>
              <w:autoSpaceDE w:val="0"/>
              <w:autoSpaceDN w:val="0"/>
              <w:adjustRightInd w:val="0"/>
              <w:snapToGrid w:val="0"/>
              <w:spacing w:before="65" w:line="369" w:lineRule="exact"/>
              <w:ind w:left="114"/>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position w:val="12"/>
                <w:sz w:val="20"/>
                <w:szCs w:val="20"/>
              </w:rPr>
              <w:t>实际规</w:t>
            </w:r>
          </w:p>
          <w:p>
            <w:pPr>
              <w:widowControl/>
              <w:kinsoku w:val="0"/>
              <w:autoSpaceDE w:val="0"/>
              <w:autoSpaceDN w:val="0"/>
              <w:adjustRightInd w:val="0"/>
              <w:snapToGrid w:val="0"/>
              <w:spacing w:line="219" w:lineRule="auto"/>
              <w:ind w:left="64"/>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8"/>
                <w:kern w:val="0"/>
                <w:sz w:val="20"/>
                <w:szCs w:val="20"/>
              </w:rPr>
              <w:t>模(m²)</w:t>
            </w:r>
          </w:p>
        </w:tc>
        <w:tc>
          <w:tcPr>
            <w:tcW w:w="1128" w:type="dxa"/>
            <w:noWrap w:val="0"/>
            <w:vAlign w:val="top"/>
          </w:tcPr>
          <w:p>
            <w:pPr>
              <w:widowControl/>
              <w:kinsoku w:val="0"/>
              <w:autoSpaceDE w:val="0"/>
              <w:autoSpaceDN w:val="0"/>
              <w:adjustRightInd w:val="0"/>
              <w:snapToGrid w:val="0"/>
              <w:spacing w:before="306" w:line="271" w:lineRule="auto"/>
              <w:ind w:left="454" w:right="144" w:hanging="299"/>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4"/>
                <w:kern w:val="0"/>
                <w:sz w:val="20"/>
                <w:szCs w:val="20"/>
              </w:rPr>
              <w:t>规模控制</w:t>
            </w:r>
            <w:r>
              <w:rPr>
                <w:rFonts w:ascii="宋体" w:hAnsi="宋体" w:eastAsia="宋体" w:cs="宋体"/>
                <w:snapToGrid w:val="0"/>
                <w:color w:val="000000"/>
                <w:kern w:val="0"/>
                <w:sz w:val="20"/>
                <w:szCs w:val="20"/>
              </w:rPr>
              <w:t>率</w:t>
            </w:r>
          </w:p>
        </w:tc>
        <w:tc>
          <w:tcPr>
            <w:tcW w:w="1109" w:type="dxa"/>
            <w:noWrap w:val="0"/>
            <w:vAlign w:val="top"/>
          </w:tcPr>
          <w:p>
            <w:pPr>
              <w:widowControl/>
              <w:kinsoku w:val="0"/>
              <w:autoSpaceDE w:val="0"/>
              <w:autoSpaceDN w:val="0"/>
              <w:adjustRightInd w:val="0"/>
              <w:snapToGrid w:val="0"/>
              <w:spacing w:before="306" w:line="219" w:lineRule="auto"/>
              <w:ind w:left="147"/>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预算投资</w:t>
            </w:r>
          </w:p>
          <w:p>
            <w:pPr>
              <w:widowControl/>
              <w:kinsoku w:val="0"/>
              <w:autoSpaceDE w:val="0"/>
              <w:autoSpaceDN w:val="0"/>
              <w:adjustRightInd w:val="0"/>
              <w:snapToGrid w:val="0"/>
              <w:spacing w:before="133" w:line="220" w:lineRule="auto"/>
              <w:ind w:left="247"/>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10"/>
                <w:kern w:val="0"/>
                <w:sz w:val="20"/>
                <w:szCs w:val="20"/>
              </w:rPr>
              <w:t>(万元)</w:t>
            </w:r>
          </w:p>
        </w:tc>
        <w:tc>
          <w:tcPr>
            <w:tcW w:w="1069"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p>
            <w:pPr>
              <w:widowControl/>
              <w:kinsoku w:val="0"/>
              <w:autoSpaceDE w:val="0"/>
              <w:autoSpaceDN w:val="0"/>
              <w:adjustRightInd w:val="0"/>
              <w:snapToGrid w:val="0"/>
              <w:spacing w:before="65" w:line="220" w:lineRule="auto"/>
              <w:ind w:left="128"/>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实际投资</w:t>
            </w:r>
          </w:p>
          <w:p>
            <w:pPr>
              <w:widowControl/>
              <w:kinsoku w:val="0"/>
              <w:autoSpaceDE w:val="0"/>
              <w:autoSpaceDN w:val="0"/>
              <w:adjustRightInd w:val="0"/>
              <w:snapToGrid w:val="0"/>
              <w:spacing w:before="131" w:line="220" w:lineRule="auto"/>
              <w:ind w:left="228"/>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10"/>
                <w:kern w:val="0"/>
                <w:sz w:val="20"/>
                <w:szCs w:val="20"/>
              </w:rPr>
              <w:t>(万元)</w:t>
            </w:r>
          </w:p>
        </w:tc>
        <w:tc>
          <w:tcPr>
            <w:tcW w:w="964" w:type="dxa"/>
            <w:noWrap w:val="0"/>
            <w:vAlign w:val="top"/>
          </w:tcPr>
          <w:p>
            <w:pPr>
              <w:widowControl/>
              <w:kinsoku w:val="0"/>
              <w:autoSpaceDE w:val="0"/>
              <w:autoSpaceDN w:val="0"/>
              <w:adjustRightInd w:val="0"/>
              <w:snapToGrid w:val="0"/>
              <w:spacing w:before="116" w:line="219" w:lineRule="auto"/>
              <w:ind w:left="179"/>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投资概</w:t>
            </w:r>
          </w:p>
          <w:p>
            <w:pPr>
              <w:widowControl/>
              <w:kinsoku w:val="0"/>
              <w:autoSpaceDE w:val="0"/>
              <w:autoSpaceDN w:val="0"/>
              <w:adjustRightInd w:val="0"/>
              <w:snapToGrid w:val="0"/>
              <w:spacing w:before="132" w:line="219" w:lineRule="auto"/>
              <w:ind w:left="179"/>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5"/>
                <w:kern w:val="0"/>
                <w:sz w:val="20"/>
                <w:szCs w:val="20"/>
              </w:rPr>
              <w:t>算控制</w:t>
            </w:r>
          </w:p>
          <w:p>
            <w:pPr>
              <w:widowControl/>
              <w:kinsoku w:val="0"/>
              <w:autoSpaceDE w:val="0"/>
              <w:autoSpaceDN w:val="0"/>
              <w:adjustRightInd w:val="0"/>
              <w:snapToGrid w:val="0"/>
              <w:spacing w:before="102" w:line="219" w:lineRule="auto"/>
              <w:ind w:left="379"/>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kern w:val="0"/>
                <w:sz w:val="20"/>
                <w:szCs w:val="20"/>
              </w:rPr>
              <w:t>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3341" w:type="dxa"/>
            <w:vMerge w:val="continue"/>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179"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849"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128"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109"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69"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964"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jc w:val="center"/>
        </w:trPr>
        <w:tc>
          <w:tcPr>
            <w:tcW w:w="3341" w:type="dxa"/>
            <w:noWrap w:val="0"/>
            <w:vAlign w:val="top"/>
          </w:tcPr>
          <w:p>
            <w:pPr>
              <w:widowControl/>
              <w:kinsoku w:val="0"/>
              <w:autoSpaceDE w:val="0"/>
              <w:autoSpaceDN w:val="0"/>
              <w:adjustRightInd w:val="0"/>
              <w:snapToGrid w:val="0"/>
              <w:spacing w:before="137" w:line="210" w:lineRule="auto"/>
              <w:ind w:left="864"/>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1"/>
                <w:kern w:val="0"/>
                <w:sz w:val="20"/>
                <w:szCs w:val="20"/>
              </w:rPr>
              <w:t>厉行节约保障措施</w:t>
            </w:r>
          </w:p>
        </w:tc>
        <w:tc>
          <w:tcPr>
            <w:tcW w:w="6298" w:type="dxa"/>
            <w:gridSpan w:val="6"/>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r>
    </w:tbl>
    <w:p>
      <w:pPr>
        <w:keepNext w:val="0"/>
        <w:keepLines w:val="0"/>
        <w:pageBreakBefore w:val="0"/>
        <w:widowControl/>
        <w:kinsoku w:val="0"/>
        <w:wordWrap/>
        <w:overflowPunct/>
        <w:topLinePunct w:val="0"/>
        <w:autoSpaceDE w:val="0"/>
        <w:autoSpaceDN w:val="0"/>
        <w:bidi w:val="0"/>
        <w:adjustRightInd w:val="0"/>
        <w:snapToGrid w:val="0"/>
        <w:spacing w:before="122" w:line="410" w:lineRule="exact"/>
        <w:ind w:left="425"/>
        <w:jc w:val="left"/>
        <w:textAlignment w:val="baseline"/>
        <w:rPr>
          <w:rFonts w:ascii="仿宋" w:hAnsi="仿宋" w:cs="仿宋"/>
          <w:snapToGrid w:val="0"/>
          <w:color w:val="000000"/>
          <w:kern w:val="0"/>
          <w:sz w:val="22"/>
          <w:szCs w:val="22"/>
        </w:rPr>
      </w:pPr>
      <w:r>
        <w:rPr>
          <w:rFonts w:ascii="仿宋" w:hAnsi="仿宋" w:eastAsia="仿宋" w:cs="仿宋"/>
          <w:snapToGrid w:val="0"/>
          <w:color w:val="000000"/>
          <w:spacing w:val="-2"/>
          <w:kern w:val="0"/>
          <w:position w:val="14"/>
          <w:sz w:val="22"/>
          <w:szCs w:val="22"/>
        </w:rPr>
        <w:t>说明：</w:t>
      </w:r>
      <w:r>
        <w:rPr>
          <w:rFonts w:hint="eastAsia" w:ascii="仿宋" w:hAnsi="仿宋" w:cs="仿宋"/>
          <w:snapToGrid w:val="0"/>
          <w:color w:val="000000"/>
          <w:spacing w:val="-2"/>
          <w:kern w:val="0"/>
          <w:position w:val="14"/>
          <w:sz w:val="22"/>
          <w:szCs w:val="22"/>
        </w:rPr>
        <w:t>1、2022年预算数使用网上预算公开数据；2、2021年决算数据采用2021年度整体支出自评报告数据；</w:t>
      </w:r>
    </w:p>
    <w:p>
      <w:pPr>
        <w:widowControl/>
        <w:kinsoku w:val="0"/>
        <w:autoSpaceDE w:val="0"/>
        <w:autoSpaceDN w:val="0"/>
        <w:adjustRightInd w:val="0"/>
        <w:snapToGrid w:val="0"/>
        <w:spacing w:before="71" w:line="223" w:lineRule="auto"/>
        <w:ind w:left="424"/>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21"/>
          <w:kern w:val="0"/>
          <w:sz w:val="22"/>
          <w:szCs w:val="22"/>
        </w:rPr>
        <w:t>填表人：</w:t>
      </w:r>
      <w:r>
        <w:rPr>
          <w:rFonts w:hint="eastAsia" w:ascii="仿宋" w:hAnsi="仿宋" w:cs="仿宋"/>
          <w:snapToGrid w:val="0"/>
          <w:color w:val="000000"/>
          <w:spacing w:val="-21"/>
          <w:kern w:val="0"/>
          <w:sz w:val="22"/>
          <w:szCs w:val="22"/>
        </w:rPr>
        <w:t xml:space="preserve">                  </w:t>
      </w:r>
      <w:r>
        <w:rPr>
          <w:rFonts w:ascii="仿宋" w:hAnsi="仿宋" w:eastAsia="仿宋" w:cs="仿宋"/>
          <w:snapToGrid w:val="0"/>
          <w:color w:val="000000"/>
          <w:spacing w:val="-21"/>
          <w:kern w:val="0"/>
          <w:sz w:val="22"/>
          <w:szCs w:val="22"/>
        </w:rPr>
        <w:t>填报日期：</w:t>
      </w:r>
      <w:r>
        <w:rPr>
          <w:rFonts w:hint="eastAsia" w:ascii="仿宋" w:hAnsi="仿宋" w:cs="仿宋"/>
          <w:snapToGrid w:val="0"/>
          <w:color w:val="000000"/>
          <w:spacing w:val="-21"/>
          <w:kern w:val="0"/>
          <w:sz w:val="22"/>
          <w:szCs w:val="22"/>
        </w:rPr>
        <w:t xml:space="preserve">                     </w:t>
      </w:r>
      <w:r>
        <w:rPr>
          <w:rFonts w:ascii="仿宋" w:hAnsi="仿宋" w:eastAsia="仿宋" w:cs="仿宋"/>
          <w:snapToGrid w:val="0"/>
          <w:color w:val="000000"/>
          <w:spacing w:val="-21"/>
          <w:kern w:val="0"/>
          <w:sz w:val="22"/>
          <w:szCs w:val="22"/>
        </w:rPr>
        <w:t>联系电话：</w:t>
      </w:r>
      <w:r>
        <w:rPr>
          <w:rFonts w:hint="eastAsia" w:ascii="仿宋" w:hAnsi="仿宋" w:cs="仿宋"/>
          <w:snapToGrid w:val="0"/>
          <w:color w:val="000000"/>
          <w:spacing w:val="-21"/>
          <w:kern w:val="0"/>
          <w:sz w:val="22"/>
          <w:szCs w:val="22"/>
        </w:rPr>
        <w:t xml:space="preserve">                     </w:t>
      </w:r>
      <w:r>
        <w:rPr>
          <w:rFonts w:ascii="仿宋" w:hAnsi="仿宋" w:eastAsia="仿宋" w:cs="仿宋"/>
          <w:snapToGrid w:val="0"/>
          <w:color w:val="000000"/>
          <w:spacing w:val="-21"/>
          <w:kern w:val="0"/>
          <w:sz w:val="22"/>
          <w:szCs w:val="22"/>
        </w:rPr>
        <w:t>单位负责人签字：</w:t>
      </w:r>
    </w:p>
    <w:p>
      <w:r>
        <w:br w:type="page"/>
      </w:r>
    </w:p>
    <w:p>
      <w:pPr>
        <w:widowControl/>
        <w:kinsoku w:val="0"/>
        <w:autoSpaceDE w:val="0"/>
        <w:autoSpaceDN w:val="0"/>
        <w:adjustRightInd w:val="0"/>
        <w:snapToGrid w:val="0"/>
        <w:spacing w:before="271" w:line="224" w:lineRule="auto"/>
        <w:ind w:left="689"/>
        <w:jc w:val="left"/>
        <w:textAlignment w:val="baseline"/>
        <w:rPr>
          <w:rFonts w:ascii="黑体" w:hAnsi="黑体" w:eastAsia="黑体" w:cs="黑体"/>
          <w:snapToGrid w:val="0"/>
          <w:color w:val="000000"/>
          <w:kern w:val="0"/>
          <w:sz w:val="34"/>
          <w:szCs w:val="34"/>
        </w:rPr>
      </w:pPr>
      <w:bookmarkStart w:id="0" w:name="_GoBack"/>
      <w:bookmarkEnd w:id="0"/>
      <w:r>
        <w:rPr>
          <w:rFonts w:ascii="黑体" w:hAnsi="黑体" w:eastAsia="黑体" w:cs="黑体"/>
          <w:b/>
          <w:bCs/>
          <w:snapToGrid w:val="0"/>
          <w:color w:val="000000"/>
          <w:spacing w:val="3"/>
          <w:kern w:val="0"/>
          <w:sz w:val="34"/>
          <w:szCs w:val="34"/>
        </w:rPr>
        <w:t>附件2</w:t>
      </w:r>
    </w:p>
    <w:p>
      <w:pPr>
        <w:widowControl/>
        <w:kinsoku w:val="0"/>
        <w:autoSpaceDE w:val="0"/>
        <w:autoSpaceDN w:val="0"/>
        <w:adjustRightInd w:val="0"/>
        <w:snapToGrid w:val="0"/>
        <w:spacing w:before="173" w:line="219" w:lineRule="auto"/>
        <w:jc w:val="center"/>
        <w:textAlignment w:val="baseline"/>
        <w:rPr>
          <w:rFonts w:ascii="宋体" w:hAnsi="宋体" w:eastAsia="宋体" w:cs="宋体"/>
          <w:snapToGrid w:val="0"/>
          <w:color w:val="000000"/>
          <w:kern w:val="0"/>
          <w:sz w:val="34"/>
          <w:szCs w:val="34"/>
        </w:rPr>
      </w:pPr>
      <w:r>
        <w:rPr>
          <w:rFonts w:ascii="宋体" w:hAnsi="宋体" w:eastAsia="宋体" w:cs="宋体"/>
          <w:b/>
          <w:bCs/>
          <w:snapToGrid w:val="0"/>
          <w:color w:val="000000"/>
          <w:spacing w:val="18"/>
          <w:kern w:val="0"/>
          <w:sz w:val="34"/>
          <w:szCs w:val="34"/>
        </w:rPr>
        <w:t>2022年度部门整体支出绩效自评表</w:t>
      </w:r>
    </w:p>
    <w:p>
      <w:pPr>
        <w:widowControl/>
        <w:kinsoku w:val="0"/>
        <w:autoSpaceDE w:val="0"/>
        <w:autoSpaceDN w:val="0"/>
        <w:adjustRightInd w:val="0"/>
        <w:snapToGrid w:val="0"/>
        <w:jc w:val="left"/>
        <w:textAlignment w:val="baseline"/>
        <w:rPr>
          <w:rFonts w:ascii="Arial" w:hAnsi="Arial" w:cs="Arial"/>
          <w:snapToGrid w:val="0"/>
          <w:color w:val="000000"/>
          <w:kern w:val="0"/>
          <w:szCs w:val="21"/>
        </w:rPr>
      </w:pPr>
    </w:p>
    <w:p>
      <w:pPr>
        <w:widowControl/>
        <w:kinsoku w:val="0"/>
        <w:autoSpaceDE w:val="0"/>
        <w:autoSpaceDN w:val="0"/>
        <w:adjustRightInd w:val="0"/>
        <w:snapToGrid w:val="0"/>
        <w:spacing w:line="120" w:lineRule="exact"/>
        <w:jc w:val="left"/>
        <w:textAlignment w:val="baseline"/>
        <w:rPr>
          <w:rFonts w:ascii="Arial" w:hAnsi="Arial" w:cs="Arial"/>
          <w:snapToGrid w:val="0"/>
          <w:color w:val="000000"/>
          <w:kern w:val="0"/>
          <w:szCs w:val="21"/>
        </w:rPr>
      </w:pPr>
    </w:p>
    <w:tbl>
      <w:tblPr>
        <w:tblStyle w:val="8"/>
        <w:tblW w:w="99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1069"/>
        <w:gridCol w:w="1009"/>
        <w:gridCol w:w="1258"/>
        <w:gridCol w:w="268"/>
        <w:gridCol w:w="1051"/>
        <w:gridCol w:w="1259"/>
        <w:gridCol w:w="709"/>
        <w:gridCol w:w="869"/>
        <w:gridCol w:w="14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jc w:val="center"/>
        </w:trPr>
        <w:tc>
          <w:tcPr>
            <w:tcW w:w="1074" w:type="dxa"/>
          </w:tcPr>
          <w:p>
            <w:pPr>
              <w:widowControl/>
              <w:kinsoku w:val="0"/>
              <w:autoSpaceDE w:val="0"/>
              <w:autoSpaceDN w:val="0"/>
              <w:adjustRightInd w:val="0"/>
              <w:snapToGrid w:val="0"/>
              <w:spacing w:before="32" w:line="204" w:lineRule="auto"/>
              <w:ind w:left="124" w:right="128"/>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市级预算部门名称</w:t>
            </w:r>
          </w:p>
        </w:tc>
        <w:tc>
          <w:tcPr>
            <w:tcW w:w="8925" w:type="dxa"/>
            <w:gridSpan w:val="9"/>
          </w:tcPr>
          <w:p>
            <w:pPr>
              <w:widowControl/>
              <w:kinsoku w:val="0"/>
              <w:autoSpaceDE w:val="0"/>
              <w:autoSpaceDN w:val="0"/>
              <w:adjustRightInd w:val="0"/>
              <w:snapToGrid w:val="0"/>
              <w:spacing w:before="32" w:line="204" w:lineRule="auto"/>
              <w:ind w:left="124" w:right="128"/>
              <w:jc w:val="center"/>
              <w:textAlignment w:val="baseline"/>
              <w:rPr>
                <w:rFonts w:hint="eastAsia" w:ascii="宋体" w:hAnsi="宋体" w:cs="宋体"/>
                <w:snapToGrid w:val="0"/>
                <w:color w:val="000000"/>
                <w:spacing w:val="2"/>
                <w:kern w:val="0"/>
                <w:sz w:val="20"/>
                <w:szCs w:val="20"/>
              </w:rPr>
            </w:pPr>
          </w:p>
          <w:p>
            <w:pPr>
              <w:widowControl/>
              <w:kinsoku w:val="0"/>
              <w:autoSpaceDE w:val="0"/>
              <w:autoSpaceDN w:val="0"/>
              <w:adjustRightInd w:val="0"/>
              <w:snapToGrid w:val="0"/>
              <w:spacing w:before="32" w:line="204" w:lineRule="auto"/>
              <w:ind w:left="124" w:right="128"/>
              <w:jc w:val="center"/>
              <w:textAlignment w:val="baseline"/>
              <w:rPr>
                <w:rFonts w:ascii="Arial" w:hAnsi="Arial" w:cs="Arial"/>
                <w:snapToGrid w:val="0"/>
                <w:color w:val="000000"/>
                <w:kern w:val="0"/>
                <w:szCs w:val="21"/>
              </w:rPr>
            </w:pPr>
            <w:r>
              <w:rPr>
                <w:rFonts w:hint="eastAsia" w:ascii="宋体" w:hAnsi="宋体" w:eastAsia="宋体" w:cs="宋体"/>
                <w:snapToGrid w:val="0"/>
                <w:color w:val="000000"/>
                <w:spacing w:val="2"/>
                <w:kern w:val="0"/>
                <w:sz w:val="20"/>
                <w:szCs w:val="20"/>
              </w:rPr>
              <w:t>岳阳市自然资源和规划局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jc w:val="center"/>
        </w:trPr>
        <w:tc>
          <w:tcPr>
            <w:tcW w:w="1074" w:type="dxa"/>
            <w:vMerge w:val="restart"/>
            <w:tcBorders>
              <w:bottom w:val="nil"/>
            </w:tcBorders>
          </w:tcPr>
          <w:p>
            <w:pPr>
              <w:widowControl/>
              <w:kinsoku w:val="0"/>
              <w:autoSpaceDE w:val="0"/>
              <w:autoSpaceDN w:val="0"/>
              <w:adjustRightInd w:val="0"/>
              <w:snapToGrid w:val="0"/>
              <w:spacing w:line="449" w:lineRule="auto"/>
              <w:jc w:val="left"/>
              <w:textAlignment w:val="baseline"/>
              <w:rPr>
                <w:rFonts w:ascii="Arial" w:hAnsi="Arial" w:cs="Arial"/>
                <w:snapToGrid w:val="0"/>
                <w:color w:val="000000"/>
                <w:kern w:val="0"/>
                <w:szCs w:val="21"/>
              </w:rPr>
            </w:pPr>
          </w:p>
          <w:p>
            <w:pPr>
              <w:widowControl/>
              <w:kinsoku w:val="0"/>
              <w:autoSpaceDE w:val="0"/>
              <w:autoSpaceDN w:val="0"/>
              <w:adjustRightInd w:val="0"/>
              <w:snapToGrid w:val="0"/>
              <w:spacing w:before="65" w:line="234" w:lineRule="auto"/>
              <w:ind w:left="224" w:right="195"/>
              <w:jc w:val="both"/>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年度预</w:t>
            </w:r>
            <w:r>
              <w:rPr>
                <w:rFonts w:ascii="宋体" w:hAnsi="宋体" w:eastAsia="宋体" w:cs="宋体"/>
                <w:snapToGrid w:val="0"/>
                <w:color w:val="000000"/>
                <w:spacing w:val="-4"/>
                <w:kern w:val="0"/>
                <w:sz w:val="20"/>
                <w:szCs w:val="20"/>
              </w:rPr>
              <w:t>算申请</w:t>
            </w:r>
            <w:r>
              <w:rPr>
                <w:rFonts w:ascii="宋体" w:hAnsi="宋体" w:eastAsia="宋体" w:cs="宋体"/>
                <w:snapToGrid w:val="0"/>
                <w:color w:val="000000"/>
                <w:spacing w:val="10"/>
                <w:kern w:val="0"/>
                <w:sz w:val="20"/>
                <w:szCs w:val="20"/>
              </w:rPr>
              <w:t>(万元)</w:t>
            </w:r>
          </w:p>
        </w:tc>
        <w:tc>
          <w:tcPr>
            <w:tcW w:w="2078" w:type="dxa"/>
            <w:gridSpan w:val="2"/>
          </w:tcPr>
          <w:p>
            <w:pPr>
              <w:widowControl/>
              <w:kinsoku w:val="0"/>
              <w:autoSpaceDE w:val="0"/>
              <w:autoSpaceDN w:val="0"/>
              <w:adjustRightInd w:val="0"/>
              <w:snapToGrid w:val="0"/>
              <w:spacing w:line="240" w:lineRule="exact"/>
              <w:jc w:val="left"/>
              <w:textAlignment w:val="baseline"/>
              <w:rPr>
                <w:rFonts w:ascii="Arial" w:hAnsi="Arial" w:cs="Arial"/>
                <w:snapToGrid w:val="0"/>
                <w:color w:val="000000"/>
                <w:kern w:val="0"/>
                <w:sz w:val="20"/>
                <w:szCs w:val="21"/>
              </w:rPr>
            </w:pPr>
          </w:p>
        </w:tc>
        <w:tc>
          <w:tcPr>
            <w:tcW w:w="1258" w:type="dxa"/>
          </w:tcPr>
          <w:p>
            <w:pPr>
              <w:widowControl/>
              <w:kinsoku w:val="0"/>
              <w:autoSpaceDE w:val="0"/>
              <w:autoSpaceDN w:val="0"/>
              <w:adjustRightInd w:val="0"/>
              <w:snapToGrid w:val="0"/>
              <w:spacing w:before="38" w:line="186" w:lineRule="auto"/>
              <w:ind w:left="122"/>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年初预算数</w:t>
            </w:r>
          </w:p>
        </w:tc>
        <w:tc>
          <w:tcPr>
            <w:tcW w:w="1319" w:type="dxa"/>
            <w:gridSpan w:val="2"/>
          </w:tcPr>
          <w:p>
            <w:pPr>
              <w:widowControl/>
              <w:kinsoku w:val="0"/>
              <w:autoSpaceDE w:val="0"/>
              <w:autoSpaceDN w:val="0"/>
              <w:adjustRightInd w:val="0"/>
              <w:snapToGrid w:val="0"/>
              <w:spacing w:before="18" w:line="204" w:lineRule="auto"/>
              <w:ind w:left="114"/>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全年预算数</w:t>
            </w:r>
          </w:p>
        </w:tc>
        <w:tc>
          <w:tcPr>
            <w:tcW w:w="1259" w:type="dxa"/>
          </w:tcPr>
          <w:p>
            <w:pPr>
              <w:widowControl/>
              <w:kinsoku w:val="0"/>
              <w:autoSpaceDE w:val="0"/>
              <w:autoSpaceDN w:val="0"/>
              <w:adjustRightInd w:val="0"/>
              <w:snapToGrid w:val="0"/>
              <w:spacing w:before="18" w:line="204" w:lineRule="auto"/>
              <w:ind w:left="105"/>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全年执行数</w:t>
            </w:r>
          </w:p>
        </w:tc>
        <w:tc>
          <w:tcPr>
            <w:tcW w:w="709" w:type="dxa"/>
          </w:tcPr>
          <w:p>
            <w:pPr>
              <w:widowControl/>
              <w:kinsoku w:val="0"/>
              <w:autoSpaceDE w:val="0"/>
              <w:autoSpaceDN w:val="0"/>
              <w:adjustRightInd w:val="0"/>
              <w:snapToGrid w:val="0"/>
              <w:spacing w:before="18" w:line="204" w:lineRule="auto"/>
              <w:ind w:left="146"/>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分值</w:t>
            </w:r>
          </w:p>
        </w:tc>
        <w:tc>
          <w:tcPr>
            <w:tcW w:w="869" w:type="dxa"/>
          </w:tcPr>
          <w:p>
            <w:pPr>
              <w:widowControl/>
              <w:kinsoku w:val="0"/>
              <w:autoSpaceDE w:val="0"/>
              <w:autoSpaceDN w:val="0"/>
              <w:adjustRightInd w:val="0"/>
              <w:snapToGrid w:val="0"/>
              <w:spacing w:before="18" w:line="204" w:lineRule="auto"/>
              <w:ind w:left="128"/>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执行率</w:t>
            </w:r>
          </w:p>
        </w:tc>
        <w:tc>
          <w:tcPr>
            <w:tcW w:w="1433" w:type="dxa"/>
          </w:tcPr>
          <w:p>
            <w:pPr>
              <w:widowControl/>
              <w:kinsoku w:val="0"/>
              <w:autoSpaceDE w:val="0"/>
              <w:autoSpaceDN w:val="0"/>
              <w:adjustRightInd w:val="0"/>
              <w:snapToGrid w:val="0"/>
              <w:spacing w:before="18" w:line="204" w:lineRule="auto"/>
              <w:ind w:left="508"/>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jc w:val="center"/>
        </w:trPr>
        <w:tc>
          <w:tcPr>
            <w:tcW w:w="107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2078" w:type="dxa"/>
            <w:gridSpan w:val="2"/>
          </w:tcPr>
          <w:p>
            <w:pPr>
              <w:widowControl/>
              <w:kinsoku w:val="0"/>
              <w:autoSpaceDE w:val="0"/>
              <w:autoSpaceDN w:val="0"/>
              <w:adjustRightInd w:val="0"/>
              <w:snapToGrid w:val="0"/>
              <w:spacing w:before="38" w:line="185" w:lineRule="auto"/>
              <w:ind w:left="43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年度资金总额</w:t>
            </w:r>
          </w:p>
        </w:tc>
        <w:tc>
          <w:tcPr>
            <w:tcW w:w="1258" w:type="dxa"/>
          </w:tcPr>
          <w:p>
            <w:pPr>
              <w:widowControl/>
              <w:kinsoku w:val="0"/>
              <w:autoSpaceDE w:val="0"/>
              <w:autoSpaceDN w:val="0"/>
              <w:adjustRightInd w:val="0"/>
              <w:snapToGrid w:val="0"/>
              <w:spacing w:line="239" w:lineRule="exact"/>
              <w:jc w:val="left"/>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4349.42</w:t>
            </w:r>
          </w:p>
        </w:tc>
        <w:tc>
          <w:tcPr>
            <w:tcW w:w="1319" w:type="dxa"/>
            <w:gridSpan w:val="2"/>
          </w:tcPr>
          <w:p>
            <w:pPr>
              <w:widowControl/>
              <w:kinsoku w:val="0"/>
              <w:autoSpaceDE w:val="0"/>
              <w:autoSpaceDN w:val="0"/>
              <w:adjustRightInd w:val="0"/>
              <w:snapToGrid w:val="0"/>
              <w:spacing w:line="239" w:lineRule="exact"/>
              <w:jc w:val="left"/>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16675.13</w:t>
            </w:r>
          </w:p>
        </w:tc>
        <w:tc>
          <w:tcPr>
            <w:tcW w:w="1259" w:type="dxa"/>
          </w:tcPr>
          <w:p>
            <w:pPr>
              <w:widowControl/>
              <w:kinsoku w:val="0"/>
              <w:autoSpaceDE w:val="0"/>
              <w:autoSpaceDN w:val="0"/>
              <w:adjustRightInd w:val="0"/>
              <w:snapToGrid w:val="0"/>
              <w:spacing w:line="239" w:lineRule="exact"/>
              <w:jc w:val="left"/>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16675.13</w:t>
            </w:r>
          </w:p>
        </w:tc>
        <w:tc>
          <w:tcPr>
            <w:tcW w:w="709" w:type="dxa"/>
          </w:tcPr>
          <w:p>
            <w:pPr>
              <w:widowControl/>
              <w:kinsoku w:val="0"/>
              <w:autoSpaceDE w:val="0"/>
              <w:autoSpaceDN w:val="0"/>
              <w:adjustRightInd w:val="0"/>
              <w:snapToGrid w:val="0"/>
              <w:spacing w:before="90" w:line="149" w:lineRule="exact"/>
              <w:ind w:left="246"/>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6"/>
                <w:kern w:val="0"/>
                <w:position w:val="-3"/>
                <w:sz w:val="20"/>
                <w:szCs w:val="20"/>
              </w:rPr>
              <w:t>10</w:t>
            </w:r>
          </w:p>
        </w:tc>
        <w:tc>
          <w:tcPr>
            <w:tcW w:w="869" w:type="dxa"/>
          </w:tcPr>
          <w:p>
            <w:pPr>
              <w:widowControl/>
              <w:kinsoku w:val="0"/>
              <w:autoSpaceDE w:val="0"/>
              <w:autoSpaceDN w:val="0"/>
              <w:adjustRightInd w:val="0"/>
              <w:snapToGrid w:val="0"/>
              <w:spacing w:line="239" w:lineRule="exact"/>
              <w:jc w:val="left"/>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100%</w:t>
            </w:r>
          </w:p>
        </w:tc>
        <w:tc>
          <w:tcPr>
            <w:tcW w:w="1433" w:type="dxa"/>
          </w:tcPr>
          <w:p>
            <w:pPr>
              <w:widowControl/>
              <w:kinsoku w:val="0"/>
              <w:autoSpaceDE w:val="0"/>
              <w:autoSpaceDN w:val="0"/>
              <w:adjustRightInd w:val="0"/>
              <w:snapToGrid w:val="0"/>
              <w:spacing w:line="239"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jc w:val="center"/>
        </w:trPr>
        <w:tc>
          <w:tcPr>
            <w:tcW w:w="107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4655" w:type="dxa"/>
            <w:gridSpan w:val="5"/>
          </w:tcPr>
          <w:p>
            <w:pPr>
              <w:widowControl/>
              <w:kinsoku w:val="0"/>
              <w:autoSpaceDE w:val="0"/>
              <w:autoSpaceDN w:val="0"/>
              <w:adjustRightInd w:val="0"/>
              <w:snapToGrid w:val="0"/>
              <w:spacing w:before="30" w:line="203" w:lineRule="auto"/>
              <w:ind w:left="280"/>
              <w:jc w:val="left"/>
              <w:textAlignment w:val="baseline"/>
              <w:rPr>
                <w:rFonts w:hint="eastAsia" w:ascii="宋体" w:hAnsi="宋体" w:cs="宋体"/>
                <w:snapToGrid w:val="0"/>
                <w:color w:val="000000"/>
                <w:kern w:val="0"/>
                <w:sz w:val="20"/>
                <w:szCs w:val="20"/>
              </w:rPr>
            </w:pPr>
            <w:r>
              <w:rPr>
                <w:rFonts w:ascii="宋体" w:hAnsi="宋体" w:eastAsia="宋体" w:cs="宋体"/>
                <w:snapToGrid w:val="0"/>
                <w:color w:val="000000"/>
                <w:spacing w:val="14"/>
                <w:kern w:val="0"/>
                <w:sz w:val="20"/>
                <w:szCs w:val="20"/>
              </w:rPr>
              <w:t>按收入性质分：</w:t>
            </w:r>
            <w:r>
              <w:rPr>
                <w:rFonts w:hint="eastAsia" w:ascii="宋体" w:hAnsi="宋体" w:cs="宋体"/>
                <w:snapToGrid w:val="0"/>
                <w:color w:val="000000"/>
                <w:spacing w:val="14"/>
                <w:kern w:val="0"/>
                <w:sz w:val="20"/>
                <w:szCs w:val="20"/>
              </w:rPr>
              <w:t>16675.13</w:t>
            </w:r>
          </w:p>
        </w:tc>
        <w:tc>
          <w:tcPr>
            <w:tcW w:w="4270" w:type="dxa"/>
            <w:gridSpan w:val="4"/>
          </w:tcPr>
          <w:p>
            <w:pPr>
              <w:widowControl/>
              <w:kinsoku w:val="0"/>
              <w:autoSpaceDE w:val="0"/>
              <w:autoSpaceDN w:val="0"/>
              <w:adjustRightInd w:val="0"/>
              <w:snapToGrid w:val="0"/>
              <w:spacing w:before="49" w:line="185" w:lineRule="auto"/>
              <w:ind w:left="105"/>
              <w:jc w:val="left"/>
              <w:textAlignment w:val="baseline"/>
              <w:rPr>
                <w:rFonts w:hint="eastAsia" w:ascii="宋体" w:hAnsi="宋体" w:cs="宋体"/>
                <w:snapToGrid w:val="0"/>
                <w:color w:val="000000"/>
                <w:kern w:val="0"/>
                <w:sz w:val="20"/>
                <w:szCs w:val="20"/>
              </w:rPr>
            </w:pPr>
            <w:r>
              <w:rPr>
                <w:rFonts w:ascii="宋体" w:hAnsi="宋体" w:eastAsia="宋体" w:cs="宋体"/>
                <w:snapToGrid w:val="0"/>
                <w:color w:val="000000"/>
                <w:spacing w:val="14"/>
                <w:kern w:val="0"/>
                <w:sz w:val="20"/>
                <w:szCs w:val="20"/>
              </w:rPr>
              <w:t>按支出性质分：</w:t>
            </w:r>
            <w:r>
              <w:rPr>
                <w:rFonts w:hint="eastAsia" w:ascii="宋体" w:hAnsi="宋体" w:cs="宋体"/>
                <w:snapToGrid w:val="0"/>
                <w:color w:val="000000"/>
                <w:spacing w:val="14"/>
                <w:kern w:val="0"/>
                <w:sz w:val="20"/>
                <w:szCs w:val="20"/>
              </w:rPr>
              <w:t>16675.13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jc w:val="center"/>
        </w:trPr>
        <w:tc>
          <w:tcPr>
            <w:tcW w:w="107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4655" w:type="dxa"/>
            <w:gridSpan w:val="5"/>
          </w:tcPr>
          <w:p>
            <w:pPr>
              <w:widowControl/>
              <w:kinsoku w:val="0"/>
              <w:autoSpaceDE w:val="0"/>
              <w:autoSpaceDN w:val="0"/>
              <w:adjustRightInd w:val="0"/>
              <w:snapToGrid w:val="0"/>
              <w:spacing w:before="19" w:line="185" w:lineRule="auto"/>
              <w:ind w:left="280"/>
              <w:jc w:val="left"/>
              <w:textAlignment w:val="baseline"/>
              <w:rPr>
                <w:rFonts w:hint="eastAsia" w:ascii="宋体" w:hAnsi="宋体" w:cs="宋体"/>
                <w:snapToGrid w:val="0"/>
                <w:color w:val="000000"/>
                <w:kern w:val="0"/>
                <w:sz w:val="20"/>
                <w:szCs w:val="20"/>
              </w:rPr>
            </w:pPr>
            <w:r>
              <w:rPr>
                <w:rFonts w:ascii="宋体" w:hAnsi="宋体" w:eastAsia="宋体" w:cs="宋体"/>
                <w:snapToGrid w:val="0"/>
                <w:color w:val="000000"/>
                <w:spacing w:val="-6"/>
                <w:kern w:val="0"/>
                <w:sz w:val="20"/>
                <w:szCs w:val="20"/>
              </w:rPr>
              <w:t>其中：一般公共预算：</w:t>
            </w:r>
            <w:r>
              <w:rPr>
                <w:rFonts w:hint="eastAsia" w:ascii="宋体" w:hAnsi="宋体" w:cs="宋体"/>
                <w:snapToGrid w:val="0"/>
                <w:color w:val="000000"/>
                <w:spacing w:val="-6"/>
                <w:kern w:val="0"/>
                <w:sz w:val="20"/>
                <w:szCs w:val="20"/>
              </w:rPr>
              <w:t>15436.65</w:t>
            </w:r>
          </w:p>
        </w:tc>
        <w:tc>
          <w:tcPr>
            <w:tcW w:w="4270" w:type="dxa"/>
            <w:gridSpan w:val="4"/>
          </w:tcPr>
          <w:p>
            <w:pPr>
              <w:widowControl/>
              <w:kinsoku w:val="0"/>
              <w:autoSpaceDE w:val="0"/>
              <w:autoSpaceDN w:val="0"/>
              <w:adjustRightInd w:val="0"/>
              <w:snapToGrid w:val="0"/>
              <w:spacing w:before="19" w:line="185" w:lineRule="auto"/>
              <w:ind w:left="105"/>
              <w:jc w:val="left"/>
              <w:textAlignment w:val="baseline"/>
              <w:rPr>
                <w:rFonts w:hint="eastAsia" w:ascii="宋体" w:hAnsi="宋体" w:cs="宋体"/>
                <w:snapToGrid w:val="0"/>
                <w:color w:val="000000"/>
                <w:kern w:val="0"/>
                <w:sz w:val="20"/>
                <w:szCs w:val="20"/>
              </w:rPr>
            </w:pPr>
            <w:r>
              <w:rPr>
                <w:rFonts w:ascii="宋体" w:hAnsi="宋体" w:eastAsia="宋体" w:cs="宋体"/>
                <w:snapToGrid w:val="0"/>
                <w:color w:val="000000"/>
                <w:spacing w:val="12"/>
                <w:kern w:val="0"/>
                <w:sz w:val="20"/>
                <w:szCs w:val="20"/>
              </w:rPr>
              <w:t>其中：基本支出：</w:t>
            </w:r>
            <w:r>
              <w:rPr>
                <w:rFonts w:hint="eastAsia" w:ascii="宋体" w:hAnsi="宋体" w:cs="宋体"/>
                <w:snapToGrid w:val="0"/>
                <w:color w:val="000000"/>
                <w:spacing w:val="12"/>
                <w:kern w:val="0"/>
                <w:sz w:val="20"/>
                <w:szCs w:val="20"/>
              </w:rPr>
              <w:t>8664.73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jc w:val="center"/>
        </w:trPr>
        <w:tc>
          <w:tcPr>
            <w:tcW w:w="107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4655" w:type="dxa"/>
            <w:gridSpan w:val="5"/>
          </w:tcPr>
          <w:p>
            <w:pPr>
              <w:widowControl/>
              <w:kinsoku w:val="0"/>
              <w:autoSpaceDE w:val="0"/>
              <w:autoSpaceDN w:val="0"/>
              <w:adjustRightInd w:val="0"/>
              <w:snapToGrid w:val="0"/>
              <w:spacing w:before="49" w:line="185" w:lineRule="auto"/>
              <w:ind w:left="870"/>
              <w:jc w:val="left"/>
              <w:textAlignment w:val="baseline"/>
              <w:rPr>
                <w:rFonts w:hint="eastAsia" w:ascii="宋体" w:hAnsi="宋体" w:cs="宋体"/>
                <w:snapToGrid w:val="0"/>
                <w:color w:val="000000"/>
                <w:kern w:val="0"/>
                <w:sz w:val="20"/>
                <w:szCs w:val="20"/>
              </w:rPr>
            </w:pPr>
            <w:r>
              <w:rPr>
                <w:rFonts w:ascii="宋体" w:hAnsi="宋体" w:eastAsia="宋体" w:cs="宋体"/>
                <w:snapToGrid w:val="0"/>
                <w:color w:val="000000"/>
                <w:spacing w:val="12"/>
                <w:kern w:val="0"/>
                <w:sz w:val="20"/>
                <w:szCs w:val="20"/>
              </w:rPr>
              <w:t>政府性基金拨款：</w:t>
            </w:r>
            <w:r>
              <w:rPr>
                <w:rFonts w:hint="eastAsia" w:ascii="宋体" w:hAnsi="宋体" w:cs="宋体"/>
                <w:snapToGrid w:val="0"/>
                <w:color w:val="000000"/>
                <w:spacing w:val="12"/>
                <w:kern w:val="0"/>
                <w:sz w:val="20"/>
                <w:szCs w:val="20"/>
              </w:rPr>
              <w:t>585.40</w:t>
            </w:r>
          </w:p>
        </w:tc>
        <w:tc>
          <w:tcPr>
            <w:tcW w:w="4270" w:type="dxa"/>
            <w:gridSpan w:val="4"/>
          </w:tcPr>
          <w:p>
            <w:pPr>
              <w:widowControl/>
              <w:kinsoku w:val="0"/>
              <w:autoSpaceDE w:val="0"/>
              <w:autoSpaceDN w:val="0"/>
              <w:adjustRightInd w:val="0"/>
              <w:snapToGrid w:val="0"/>
              <w:spacing w:before="50" w:line="194" w:lineRule="auto"/>
              <w:ind w:left="696"/>
              <w:jc w:val="left"/>
              <w:textAlignment w:val="baseline"/>
              <w:rPr>
                <w:rFonts w:hint="eastAsia" w:ascii="宋体" w:hAnsi="宋体" w:cs="宋体"/>
                <w:snapToGrid w:val="0"/>
                <w:color w:val="000000"/>
                <w:kern w:val="0"/>
                <w:sz w:val="19"/>
                <w:szCs w:val="19"/>
              </w:rPr>
            </w:pPr>
            <w:r>
              <w:rPr>
                <w:rFonts w:ascii="宋体" w:hAnsi="宋体" w:eastAsia="宋体" w:cs="宋体"/>
                <w:snapToGrid w:val="0"/>
                <w:color w:val="000000"/>
                <w:spacing w:val="28"/>
                <w:kern w:val="0"/>
                <w:sz w:val="19"/>
                <w:szCs w:val="19"/>
              </w:rPr>
              <w:t>项目支出：</w:t>
            </w:r>
            <w:r>
              <w:rPr>
                <w:rFonts w:hint="eastAsia" w:ascii="宋体" w:hAnsi="宋体" w:cs="宋体"/>
                <w:snapToGrid w:val="0"/>
                <w:color w:val="000000"/>
                <w:spacing w:val="28"/>
                <w:kern w:val="0"/>
                <w:sz w:val="19"/>
                <w:szCs w:val="19"/>
              </w:rPr>
              <w:t>8009.50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jc w:val="center"/>
        </w:trPr>
        <w:tc>
          <w:tcPr>
            <w:tcW w:w="107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4655" w:type="dxa"/>
            <w:gridSpan w:val="5"/>
          </w:tcPr>
          <w:p>
            <w:pPr>
              <w:widowControl/>
              <w:kinsoku w:val="0"/>
              <w:autoSpaceDE w:val="0"/>
              <w:autoSpaceDN w:val="0"/>
              <w:adjustRightInd w:val="0"/>
              <w:snapToGrid w:val="0"/>
              <w:spacing w:before="30" w:line="203" w:lineRule="auto"/>
              <w:ind w:left="28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7"/>
                <w:kern w:val="0"/>
                <w:sz w:val="20"/>
                <w:szCs w:val="20"/>
              </w:rPr>
              <w:t>纳入专户管理的非税收入拨款：</w:t>
            </w:r>
          </w:p>
        </w:tc>
        <w:tc>
          <w:tcPr>
            <w:tcW w:w="4270" w:type="dxa"/>
            <w:gridSpan w:val="4"/>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jc w:val="center"/>
        </w:trPr>
        <w:tc>
          <w:tcPr>
            <w:tcW w:w="1074" w:type="dxa"/>
            <w:vMerge w:val="continue"/>
            <w:tcBorders>
              <w:top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4655" w:type="dxa"/>
            <w:gridSpan w:val="5"/>
          </w:tcPr>
          <w:p>
            <w:pPr>
              <w:widowControl/>
              <w:kinsoku w:val="0"/>
              <w:autoSpaceDE w:val="0"/>
              <w:autoSpaceDN w:val="0"/>
              <w:adjustRightInd w:val="0"/>
              <w:snapToGrid w:val="0"/>
              <w:spacing w:before="41" w:line="193" w:lineRule="auto"/>
              <w:ind w:left="1480"/>
              <w:jc w:val="left"/>
              <w:textAlignment w:val="baseline"/>
              <w:rPr>
                <w:rFonts w:hint="eastAsia" w:ascii="宋体" w:hAnsi="宋体" w:cs="宋体"/>
                <w:snapToGrid w:val="0"/>
                <w:color w:val="000000"/>
                <w:kern w:val="0"/>
                <w:sz w:val="19"/>
                <w:szCs w:val="19"/>
              </w:rPr>
            </w:pPr>
            <w:r>
              <w:rPr>
                <w:rFonts w:ascii="宋体" w:hAnsi="宋体" w:eastAsia="宋体" w:cs="宋体"/>
                <w:snapToGrid w:val="0"/>
                <w:color w:val="000000"/>
                <w:spacing w:val="28"/>
                <w:kern w:val="0"/>
                <w:sz w:val="19"/>
                <w:szCs w:val="19"/>
              </w:rPr>
              <w:t>其他资金：</w:t>
            </w:r>
            <w:r>
              <w:rPr>
                <w:rFonts w:hint="eastAsia" w:ascii="宋体" w:hAnsi="宋体" w:cs="宋体"/>
                <w:snapToGrid w:val="0"/>
                <w:color w:val="000000"/>
                <w:spacing w:val="28"/>
                <w:kern w:val="0"/>
                <w:sz w:val="19"/>
                <w:szCs w:val="19"/>
              </w:rPr>
              <w:t>592.42</w:t>
            </w:r>
          </w:p>
        </w:tc>
        <w:tc>
          <w:tcPr>
            <w:tcW w:w="4270" w:type="dxa"/>
            <w:gridSpan w:val="4"/>
          </w:tcPr>
          <w:p>
            <w:pPr>
              <w:widowControl/>
              <w:kinsoku w:val="0"/>
              <w:autoSpaceDE w:val="0"/>
              <w:autoSpaceDN w:val="0"/>
              <w:adjustRightInd w:val="0"/>
              <w:snapToGrid w:val="0"/>
              <w:spacing w:line="240" w:lineRule="exact"/>
              <w:jc w:val="left"/>
              <w:textAlignment w:val="baseline"/>
              <w:rPr>
                <w:rFonts w:ascii="Arial" w:hAnsi="Arial" w:cs="Arial"/>
                <w:snapToGrid w:val="0"/>
                <w:color w:val="0000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jc w:val="center"/>
        </w:trPr>
        <w:tc>
          <w:tcPr>
            <w:tcW w:w="1074" w:type="dxa"/>
            <w:vMerge w:val="restart"/>
            <w:tcBorders>
              <w:bottom w:val="nil"/>
            </w:tcBorders>
          </w:tcPr>
          <w:p>
            <w:pPr>
              <w:widowControl/>
              <w:kinsoku w:val="0"/>
              <w:autoSpaceDE w:val="0"/>
              <w:autoSpaceDN w:val="0"/>
              <w:adjustRightInd w:val="0"/>
              <w:snapToGrid w:val="0"/>
              <w:spacing w:before="40" w:line="203" w:lineRule="auto"/>
              <w:ind w:left="324" w:right="147" w:hanging="200"/>
              <w:jc w:val="left"/>
              <w:textAlignment w:val="baseline"/>
              <w:rPr>
                <w:rFonts w:ascii="Arial" w:hAnsi="Arial" w:cs="Arial"/>
                <w:snapToGrid w:val="0"/>
                <w:color w:val="000000"/>
                <w:kern w:val="0"/>
                <w:sz w:val="20"/>
                <w:szCs w:val="21"/>
              </w:rPr>
            </w:pPr>
            <w:r>
              <w:rPr>
                <w:rFonts w:ascii="Arial" w:hAnsi="Arial" w:cs="Arial"/>
                <w:snapToGrid w:val="0"/>
                <w:color w:val="000000"/>
                <w:kern w:val="0"/>
                <w:sz w:val="20"/>
                <w:szCs w:val="21"/>
              </w:rPr>
              <w:t>年度总体目标</w:t>
            </w:r>
          </w:p>
        </w:tc>
        <w:tc>
          <w:tcPr>
            <w:tcW w:w="4655" w:type="dxa"/>
            <w:gridSpan w:val="5"/>
          </w:tcPr>
          <w:p>
            <w:pPr>
              <w:widowControl/>
              <w:kinsoku w:val="0"/>
              <w:autoSpaceDE w:val="0"/>
              <w:autoSpaceDN w:val="0"/>
              <w:adjustRightInd w:val="0"/>
              <w:snapToGrid w:val="0"/>
              <w:spacing w:before="30" w:line="194" w:lineRule="auto"/>
              <w:ind w:left="1920"/>
              <w:jc w:val="left"/>
              <w:textAlignment w:val="baseline"/>
              <w:rPr>
                <w:rFonts w:ascii="Arial" w:hAnsi="Arial" w:cs="Arial"/>
                <w:snapToGrid w:val="0"/>
                <w:color w:val="000000"/>
                <w:kern w:val="0"/>
                <w:sz w:val="20"/>
                <w:szCs w:val="21"/>
              </w:rPr>
            </w:pPr>
            <w:r>
              <w:rPr>
                <w:rFonts w:ascii="Arial" w:hAnsi="Arial" w:cs="Arial"/>
                <w:snapToGrid w:val="0"/>
                <w:color w:val="000000"/>
                <w:kern w:val="0"/>
                <w:sz w:val="20"/>
                <w:szCs w:val="21"/>
              </w:rPr>
              <w:t>预期目标</w:t>
            </w:r>
          </w:p>
        </w:tc>
        <w:tc>
          <w:tcPr>
            <w:tcW w:w="4270" w:type="dxa"/>
            <w:gridSpan w:val="4"/>
          </w:tcPr>
          <w:p>
            <w:pPr>
              <w:widowControl/>
              <w:kinsoku w:val="0"/>
              <w:autoSpaceDE w:val="0"/>
              <w:autoSpaceDN w:val="0"/>
              <w:adjustRightInd w:val="0"/>
              <w:snapToGrid w:val="0"/>
              <w:spacing w:before="29" w:line="185" w:lineRule="auto"/>
              <w:ind w:left="1536"/>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1"/>
                <w:kern w:val="0"/>
                <w:sz w:val="20"/>
                <w:szCs w:val="20"/>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jc w:val="center"/>
        </w:trPr>
        <w:tc>
          <w:tcPr>
            <w:tcW w:w="1074" w:type="dxa"/>
            <w:vMerge w:val="continue"/>
            <w:tcBorders>
              <w:top w:val="nil"/>
            </w:tcBorders>
          </w:tcPr>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tc>
        <w:tc>
          <w:tcPr>
            <w:tcW w:w="4655" w:type="dxa"/>
            <w:gridSpan w:val="5"/>
          </w:tcPr>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一、规划编制方面</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1、强化国土空间规划支撑，构建国土空间规划体系</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2、积极推进中心城区控制性详细规划编制</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3、稳步推进村庄规划编制，</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二、统筹自然要素保障，助推经济稳进提质、优化营商环境方面</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1、推动政策红利转化为发展实效</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2、推进“三资”运作改革，助力财源建设</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3、推动土地节约集约高效利用、盘活存量资产</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4、深化“放管服”改革，全面优化营商环境</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三、严守耕地保护红线，遏制耕地“非农化”“非粮化”方面</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1、扛牢责任守田</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2、强化管控护田</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320" w:lineRule="exact"/>
              <w:jc w:val="left"/>
              <w:textAlignment w:val="center"/>
              <w:rPr>
                <w:rFonts w:hint="eastAsia" w:ascii="Arial" w:hAnsi="Arial" w:cs="Arial"/>
                <w:snapToGrid w:val="0"/>
                <w:color w:val="000000"/>
                <w:kern w:val="0"/>
                <w:sz w:val="20"/>
                <w:szCs w:val="21"/>
              </w:rPr>
            </w:pPr>
          </w:p>
          <w:p>
            <w:pPr>
              <w:widowControl/>
              <w:kinsoku w:val="0"/>
              <w:autoSpaceDE w:val="0"/>
              <w:autoSpaceDN w:val="0"/>
              <w:adjustRightInd w:val="0"/>
              <w:snapToGrid w:val="0"/>
              <w:spacing w:line="320" w:lineRule="exact"/>
              <w:jc w:val="left"/>
              <w:textAlignment w:val="center"/>
              <w:rPr>
                <w:rFonts w:hint="eastAsia" w:ascii="Arial" w:hAnsi="Arial" w:cs="Arial"/>
                <w:snapToGrid w:val="0"/>
                <w:color w:val="000000"/>
                <w:kern w:val="0"/>
                <w:sz w:val="20"/>
                <w:szCs w:val="21"/>
              </w:rPr>
            </w:pPr>
          </w:p>
          <w:p>
            <w:pPr>
              <w:widowControl/>
              <w:kinsoku w:val="0"/>
              <w:autoSpaceDE w:val="0"/>
              <w:autoSpaceDN w:val="0"/>
              <w:adjustRightInd w:val="0"/>
              <w:snapToGrid w:val="0"/>
              <w:spacing w:line="320" w:lineRule="exact"/>
              <w:jc w:val="left"/>
              <w:textAlignment w:val="center"/>
              <w:rPr>
                <w:rFonts w:hint="eastAsia" w:ascii="Arial" w:hAnsi="Arial" w:cs="Arial"/>
                <w:snapToGrid w:val="0"/>
                <w:color w:val="000000"/>
                <w:kern w:val="0"/>
                <w:sz w:val="20"/>
                <w:szCs w:val="21"/>
              </w:rPr>
            </w:pPr>
          </w:p>
          <w:p>
            <w:pPr>
              <w:widowControl/>
              <w:kinsoku w:val="0"/>
              <w:autoSpaceDE w:val="0"/>
              <w:autoSpaceDN w:val="0"/>
              <w:adjustRightInd w:val="0"/>
              <w:snapToGrid w:val="0"/>
              <w:spacing w:line="320" w:lineRule="exact"/>
              <w:jc w:val="left"/>
              <w:textAlignment w:val="center"/>
              <w:rPr>
                <w:rFonts w:ascii="仿宋_GB2312" w:hAnsi="仿宋_GB2312" w:eastAsia="仿宋_GB2312" w:cs="仿宋_GB2312"/>
                <w:snapToGrid w:val="0"/>
                <w:color w:val="000000"/>
                <w:kern w:val="0"/>
                <w:szCs w:val="21"/>
              </w:rPr>
            </w:pPr>
            <w:r>
              <w:rPr>
                <w:rFonts w:hint="eastAsia" w:ascii="Arial" w:hAnsi="Arial" w:cs="Arial"/>
                <w:snapToGrid w:val="0"/>
                <w:color w:val="000000"/>
                <w:kern w:val="0"/>
                <w:sz w:val="20"/>
                <w:szCs w:val="21"/>
              </w:rPr>
              <w:t>四、</w:t>
            </w:r>
            <w:r>
              <w:rPr>
                <w:rFonts w:hint="eastAsia" w:ascii="仿宋_GB2312" w:hAnsi="仿宋_GB2312" w:eastAsia="仿宋_GB2312" w:cs="仿宋_GB2312"/>
                <w:b/>
                <w:bCs/>
                <w:snapToGrid w:val="0"/>
                <w:color w:val="000000"/>
                <w:kern w:val="0"/>
                <w:szCs w:val="21"/>
              </w:rPr>
              <w:t>地灾防治、不动产登记服务、信访问题化解及禁拆治违方面</w:t>
            </w:r>
          </w:p>
          <w:p>
            <w:pPr>
              <w:widowControl/>
              <w:kinsoku w:val="0"/>
              <w:autoSpaceDE w:val="0"/>
              <w:autoSpaceDN w:val="0"/>
              <w:adjustRightInd w:val="0"/>
              <w:snapToGrid w:val="0"/>
              <w:spacing w:line="320" w:lineRule="exact"/>
              <w:ind w:firstLine="400" w:firstLineChars="200"/>
              <w:jc w:val="left"/>
              <w:textAlignment w:val="center"/>
              <w:rPr>
                <w:rFonts w:ascii="Arial" w:hAnsi="Arial" w:cs="Arial"/>
                <w:snapToGrid w:val="0"/>
                <w:color w:val="000000"/>
                <w:kern w:val="0"/>
                <w:sz w:val="20"/>
                <w:szCs w:val="21"/>
              </w:rPr>
            </w:pPr>
            <w:r>
              <w:rPr>
                <w:rFonts w:hint="eastAsia" w:ascii="Arial" w:hAnsi="Arial" w:cs="Arial"/>
                <w:snapToGrid w:val="0"/>
                <w:color w:val="000000"/>
                <w:kern w:val="0"/>
                <w:sz w:val="20"/>
                <w:szCs w:val="21"/>
              </w:rPr>
              <w:t>1、地灾防治。积极开展全市共举办应急避险演练，持续保持地灾隐患点“零死亡”。</w:t>
            </w:r>
          </w:p>
          <w:p>
            <w:pPr>
              <w:widowControl/>
              <w:kinsoku w:val="0"/>
              <w:autoSpaceDE w:val="0"/>
              <w:autoSpaceDN w:val="0"/>
              <w:adjustRightInd w:val="0"/>
              <w:snapToGrid w:val="0"/>
              <w:spacing w:line="320" w:lineRule="exact"/>
              <w:ind w:firstLine="400" w:firstLineChars="200"/>
              <w:jc w:val="left"/>
              <w:textAlignment w:val="center"/>
              <w:rPr>
                <w:rFonts w:hint="eastAsia" w:ascii="Arial" w:hAnsi="Arial" w:cs="Arial"/>
                <w:snapToGrid w:val="0"/>
                <w:color w:val="000000"/>
                <w:kern w:val="0"/>
                <w:sz w:val="20"/>
                <w:szCs w:val="21"/>
              </w:rPr>
            </w:pPr>
          </w:p>
          <w:p>
            <w:pPr>
              <w:widowControl/>
              <w:kinsoku w:val="0"/>
              <w:autoSpaceDE w:val="0"/>
              <w:autoSpaceDN w:val="0"/>
              <w:adjustRightInd w:val="0"/>
              <w:snapToGrid w:val="0"/>
              <w:spacing w:line="320" w:lineRule="exact"/>
              <w:ind w:firstLine="400" w:firstLineChars="200"/>
              <w:jc w:val="left"/>
              <w:textAlignment w:val="center"/>
              <w:rPr>
                <w:rFonts w:hint="eastAsia" w:ascii="Arial" w:hAnsi="Arial" w:cs="Arial"/>
                <w:snapToGrid w:val="0"/>
                <w:color w:val="000000"/>
                <w:kern w:val="0"/>
                <w:sz w:val="20"/>
                <w:szCs w:val="21"/>
              </w:rPr>
            </w:pPr>
          </w:p>
          <w:p>
            <w:pPr>
              <w:widowControl/>
              <w:kinsoku w:val="0"/>
              <w:autoSpaceDE w:val="0"/>
              <w:autoSpaceDN w:val="0"/>
              <w:adjustRightInd w:val="0"/>
              <w:snapToGrid w:val="0"/>
              <w:spacing w:line="320" w:lineRule="exact"/>
              <w:ind w:firstLine="400" w:firstLineChars="200"/>
              <w:jc w:val="left"/>
              <w:textAlignment w:val="center"/>
              <w:rPr>
                <w:rFonts w:hint="eastAsia" w:ascii="Arial" w:hAnsi="Arial" w:cs="Arial"/>
                <w:snapToGrid w:val="0"/>
                <w:color w:val="000000"/>
                <w:kern w:val="0"/>
                <w:sz w:val="20"/>
                <w:szCs w:val="21"/>
              </w:rPr>
            </w:pPr>
          </w:p>
          <w:p>
            <w:pPr>
              <w:widowControl/>
              <w:kinsoku w:val="0"/>
              <w:autoSpaceDE w:val="0"/>
              <w:autoSpaceDN w:val="0"/>
              <w:adjustRightInd w:val="0"/>
              <w:snapToGrid w:val="0"/>
              <w:spacing w:line="320" w:lineRule="exact"/>
              <w:ind w:firstLine="400" w:firstLineChars="200"/>
              <w:jc w:val="left"/>
              <w:textAlignment w:val="center"/>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2、提升不动产登记服务</w:t>
            </w:r>
          </w:p>
          <w:p>
            <w:pPr>
              <w:widowControl/>
              <w:kinsoku w:val="0"/>
              <w:autoSpaceDE w:val="0"/>
              <w:autoSpaceDN w:val="0"/>
              <w:adjustRightInd w:val="0"/>
              <w:snapToGrid w:val="0"/>
              <w:spacing w:line="320" w:lineRule="exact"/>
              <w:ind w:firstLine="400" w:firstLineChars="200"/>
              <w:jc w:val="left"/>
              <w:textAlignment w:val="center"/>
              <w:rPr>
                <w:rFonts w:hint="eastAsia" w:ascii="Arial" w:hAnsi="Arial" w:cs="Arial"/>
                <w:snapToGrid w:val="0"/>
                <w:color w:val="000000"/>
                <w:kern w:val="0"/>
                <w:sz w:val="20"/>
                <w:szCs w:val="21"/>
              </w:rPr>
            </w:pPr>
          </w:p>
          <w:p>
            <w:pPr>
              <w:widowControl/>
              <w:kinsoku w:val="0"/>
              <w:autoSpaceDE w:val="0"/>
              <w:autoSpaceDN w:val="0"/>
              <w:adjustRightInd w:val="0"/>
              <w:snapToGrid w:val="0"/>
              <w:spacing w:line="320" w:lineRule="exact"/>
              <w:ind w:firstLine="400" w:firstLineChars="200"/>
              <w:jc w:val="left"/>
              <w:textAlignment w:val="center"/>
              <w:rPr>
                <w:rFonts w:hint="eastAsia" w:ascii="Arial" w:hAnsi="Arial" w:cs="Arial"/>
                <w:snapToGrid w:val="0"/>
                <w:color w:val="000000"/>
                <w:kern w:val="0"/>
                <w:sz w:val="20"/>
                <w:szCs w:val="21"/>
              </w:rPr>
            </w:pPr>
          </w:p>
          <w:p>
            <w:pPr>
              <w:widowControl/>
              <w:kinsoku w:val="0"/>
              <w:autoSpaceDE w:val="0"/>
              <w:autoSpaceDN w:val="0"/>
              <w:adjustRightInd w:val="0"/>
              <w:snapToGrid w:val="0"/>
              <w:spacing w:line="320" w:lineRule="exact"/>
              <w:ind w:firstLine="400" w:firstLineChars="200"/>
              <w:jc w:val="left"/>
              <w:textAlignment w:val="center"/>
              <w:rPr>
                <w:rFonts w:hint="eastAsia" w:ascii="Arial" w:hAnsi="Arial" w:cs="Arial"/>
                <w:snapToGrid w:val="0"/>
                <w:color w:val="000000"/>
                <w:kern w:val="0"/>
                <w:sz w:val="20"/>
                <w:szCs w:val="21"/>
              </w:rPr>
            </w:pPr>
          </w:p>
          <w:p>
            <w:pPr>
              <w:widowControl/>
              <w:kinsoku w:val="0"/>
              <w:autoSpaceDE w:val="0"/>
              <w:autoSpaceDN w:val="0"/>
              <w:adjustRightInd w:val="0"/>
              <w:snapToGrid w:val="0"/>
              <w:spacing w:line="320" w:lineRule="exact"/>
              <w:ind w:firstLine="400" w:firstLineChars="200"/>
              <w:jc w:val="left"/>
              <w:textAlignment w:val="center"/>
              <w:rPr>
                <w:rFonts w:hint="eastAsia" w:ascii="Arial" w:hAnsi="Arial" w:cs="Arial"/>
                <w:snapToGrid w:val="0"/>
                <w:color w:val="000000"/>
                <w:kern w:val="0"/>
                <w:sz w:val="20"/>
                <w:szCs w:val="21"/>
              </w:rPr>
            </w:pPr>
          </w:p>
          <w:p>
            <w:pPr>
              <w:widowControl/>
              <w:kinsoku w:val="0"/>
              <w:autoSpaceDE w:val="0"/>
              <w:autoSpaceDN w:val="0"/>
              <w:adjustRightInd w:val="0"/>
              <w:snapToGrid w:val="0"/>
              <w:spacing w:line="320" w:lineRule="exact"/>
              <w:ind w:firstLine="400" w:firstLineChars="200"/>
              <w:jc w:val="left"/>
              <w:textAlignment w:val="center"/>
              <w:rPr>
                <w:rFonts w:hint="eastAsia" w:ascii="Arial" w:hAnsi="Arial" w:cs="Arial"/>
                <w:snapToGrid w:val="0"/>
                <w:color w:val="000000"/>
                <w:kern w:val="0"/>
                <w:sz w:val="20"/>
                <w:szCs w:val="21"/>
              </w:rPr>
            </w:pPr>
          </w:p>
          <w:p>
            <w:pPr>
              <w:widowControl/>
              <w:kinsoku w:val="0"/>
              <w:autoSpaceDE w:val="0"/>
              <w:autoSpaceDN w:val="0"/>
              <w:adjustRightInd w:val="0"/>
              <w:snapToGrid w:val="0"/>
              <w:spacing w:line="320" w:lineRule="exact"/>
              <w:jc w:val="left"/>
              <w:textAlignment w:val="center"/>
              <w:rPr>
                <w:rFonts w:ascii="Arial" w:hAnsi="Arial" w:cs="Arial"/>
                <w:snapToGrid w:val="0"/>
                <w:color w:val="000000"/>
                <w:kern w:val="0"/>
                <w:sz w:val="20"/>
                <w:szCs w:val="21"/>
              </w:rPr>
            </w:pPr>
          </w:p>
          <w:p>
            <w:pPr>
              <w:widowControl/>
              <w:kinsoku w:val="0"/>
              <w:autoSpaceDE w:val="0"/>
              <w:autoSpaceDN w:val="0"/>
              <w:adjustRightInd w:val="0"/>
              <w:snapToGrid w:val="0"/>
              <w:spacing w:line="320" w:lineRule="exact"/>
              <w:ind w:firstLine="400" w:firstLineChars="200"/>
              <w:jc w:val="left"/>
              <w:textAlignment w:val="center"/>
              <w:rPr>
                <w:rFonts w:ascii="Arial" w:hAnsi="Arial" w:cs="Arial"/>
                <w:snapToGrid w:val="0"/>
                <w:color w:val="000000"/>
                <w:kern w:val="0"/>
                <w:sz w:val="20"/>
                <w:szCs w:val="21"/>
              </w:rPr>
            </w:pPr>
            <w:r>
              <w:rPr>
                <w:rFonts w:hint="eastAsia" w:ascii="Arial" w:hAnsi="Arial" w:cs="Arial"/>
                <w:snapToGrid w:val="0"/>
                <w:color w:val="000000"/>
                <w:kern w:val="0"/>
                <w:sz w:val="20"/>
                <w:szCs w:val="21"/>
              </w:rPr>
              <w:t>3、完成禁拆治违整治行动</w:t>
            </w:r>
          </w:p>
          <w:p>
            <w:pPr>
              <w:widowControl/>
              <w:kinsoku w:val="0"/>
              <w:autoSpaceDE w:val="0"/>
              <w:autoSpaceDN w:val="0"/>
              <w:adjustRightInd w:val="0"/>
              <w:snapToGrid w:val="0"/>
              <w:spacing w:line="320" w:lineRule="exact"/>
              <w:jc w:val="left"/>
              <w:textAlignment w:val="center"/>
              <w:rPr>
                <w:rFonts w:ascii="仿宋_GB2312" w:hAnsi="仿宋_GB2312" w:eastAsia="仿宋_GB2312" w:cs="仿宋_GB2312"/>
                <w:b/>
                <w:bCs/>
                <w:snapToGrid w:val="0"/>
                <w:color w:val="000000"/>
                <w:kern w:val="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ind w:firstLine="300" w:firstLineChars="150"/>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4、加强生态保护修复，不断深化生态治理</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320" w:lineRule="exact"/>
              <w:jc w:val="left"/>
              <w:textAlignment w:val="center"/>
              <w:rPr>
                <w:rFonts w:ascii="仿宋_GB2312" w:hAnsi="仿宋_GB2312" w:eastAsia="仿宋_GB2312" w:cs="仿宋_GB2312"/>
                <w:b/>
                <w:bCs/>
                <w:snapToGrid w:val="0"/>
                <w:color w:val="000000"/>
                <w:kern w:val="0"/>
                <w:szCs w:val="21"/>
              </w:rPr>
            </w:pPr>
            <w:r>
              <w:rPr>
                <w:rFonts w:hint="eastAsia" w:ascii="仿宋_GB2312" w:hAnsi="仿宋_GB2312" w:eastAsia="仿宋_GB2312" w:cs="仿宋_GB2312"/>
                <w:b/>
                <w:bCs/>
                <w:snapToGrid w:val="0"/>
                <w:color w:val="000000"/>
                <w:kern w:val="0"/>
                <w:szCs w:val="21"/>
              </w:rPr>
              <w:t>五、党建及廉政建设方面</w:t>
            </w:r>
          </w:p>
          <w:p>
            <w:pPr>
              <w:widowControl/>
              <w:kinsoku w:val="0"/>
              <w:autoSpaceDE w:val="0"/>
              <w:autoSpaceDN w:val="0"/>
              <w:adjustRightInd w:val="0"/>
              <w:snapToGrid w:val="0"/>
              <w:spacing w:line="320" w:lineRule="exact"/>
              <w:ind w:firstLine="400" w:firstLineChars="200"/>
              <w:jc w:val="left"/>
              <w:textAlignment w:val="center"/>
              <w:rPr>
                <w:rFonts w:ascii="Arial" w:hAnsi="Arial" w:cs="Arial"/>
                <w:snapToGrid w:val="0"/>
                <w:color w:val="000000"/>
                <w:kern w:val="0"/>
                <w:sz w:val="20"/>
                <w:szCs w:val="21"/>
              </w:rPr>
            </w:pPr>
            <w:r>
              <w:rPr>
                <w:rFonts w:hint="eastAsia" w:ascii="Arial" w:hAnsi="Arial" w:cs="Arial"/>
                <w:snapToGrid w:val="0"/>
                <w:color w:val="000000"/>
                <w:kern w:val="0"/>
                <w:sz w:val="20"/>
                <w:szCs w:val="21"/>
              </w:rPr>
              <w:t>1、政治立场。</w:t>
            </w:r>
          </w:p>
          <w:p>
            <w:pPr>
              <w:widowControl/>
              <w:kinsoku w:val="0"/>
              <w:autoSpaceDE w:val="0"/>
              <w:autoSpaceDN w:val="0"/>
              <w:adjustRightInd w:val="0"/>
              <w:snapToGrid w:val="0"/>
              <w:spacing w:line="320" w:lineRule="exact"/>
              <w:jc w:val="left"/>
              <w:textAlignment w:val="center"/>
              <w:rPr>
                <w:rFonts w:ascii="Arial" w:hAnsi="Arial" w:cs="Arial"/>
                <w:snapToGrid w:val="0"/>
                <w:color w:val="000000"/>
                <w:kern w:val="0"/>
                <w:sz w:val="20"/>
                <w:szCs w:val="21"/>
              </w:rPr>
            </w:pPr>
          </w:p>
          <w:p>
            <w:pPr>
              <w:widowControl/>
              <w:kinsoku w:val="0"/>
              <w:autoSpaceDE w:val="0"/>
              <w:autoSpaceDN w:val="0"/>
              <w:adjustRightInd w:val="0"/>
              <w:snapToGrid w:val="0"/>
              <w:spacing w:line="320" w:lineRule="exact"/>
              <w:ind w:firstLine="400" w:firstLineChars="200"/>
              <w:jc w:val="left"/>
              <w:textAlignment w:val="center"/>
              <w:rPr>
                <w:rFonts w:ascii="Arial" w:hAnsi="Arial" w:cs="Arial"/>
                <w:snapToGrid w:val="0"/>
                <w:color w:val="000000"/>
                <w:kern w:val="0"/>
                <w:sz w:val="20"/>
                <w:szCs w:val="21"/>
              </w:rPr>
            </w:pPr>
            <w:r>
              <w:rPr>
                <w:rFonts w:hint="eastAsia" w:ascii="Arial" w:hAnsi="Arial" w:cs="Arial"/>
                <w:snapToGrid w:val="0"/>
                <w:color w:val="000000"/>
                <w:kern w:val="0"/>
                <w:sz w:val="20"/>
                <w:szCs w:val="21"/>
              </w:rPr>
              <w:t>2、巩固基层党建。开展“主题党日”活动，扎实推进“我为群众办实事”实践活动。组织开展宣讲比赛活动，评选表彰“一先两优”。</w:t>
            </w:r>
          </w:p>
          <w:p>
            <w:pPr>
              <w:widowControl/>
              <w:kinsoku w:val="0"/>
              <w:autoSpaceDE w:val="0"/>
              <w:autoSpaceDN w:val="0"/>
              <w:adjustRightInd w:val="0"/>
              <w:snapToGrid w:val="0"/>
              <w:spacing w:line="320" w:lineRule="exact"/>
              <w:jc w:val="left"/>
              <w:textAlignment w:val="center"/>
              <w:rPr>
                <w:rFonts w:ascii="Arial" w:hAnsi="Arial" w:cs="Arial"/>
                <w:snapToGrid w:val="0"/>
                <w:color w:val="000000"/>
                <w:kern w:val="0"/>
                <w:sz w:val="20"/>
                <w:szCs w:val="21"/>
              </w:rPr>
            </w:pPr>
          </w:p>
          <w:p>
            <w:pPr>
              <w:widowControl/>
              <w:kinsoku w:val="0"/>
              <w:autoSpaceDE w:val="0"/>
              <w:autoSpaceDN w:val="0"/>
              <w:adjustRightInd w:val="0"/>
              <w:snapToGrid w:val="0"/>
              <w:spacing w:line="320" w:lineRule="exact"/>
              <w:ind w:firstLine="400" w:firstLineChars="200"/>
              <w:jc w:val="left"/>
              <w:textAlignment w:val="center"/>
              <w:rPr>
                <w:rFonts w:ascii="Arial" w:hAnsi="Arial" w:cs="Arial"/>
                <w:snapToGrid w:val="0"/>
                <w:color w:val="000000"/>
                <w:kern w:val="0"/>
                <w:sz w:val="20"/>
                <w:szCs w:val="21"/>
              </w:rPr>
            </w:pPr>
          </w:p>
          <w:p>
            <w:pPr>
              <w:widowControl/>
              <w:kinsoku w:val="0"/>
              <w:autoSpaceDE w:val="0"/>
              <w:autoSpaceDN w:val="0"/>
              <w:adjustRightInd w:val="0"/>
              <w:snapToGrid w:val="0"/>
              <w:spacing w:line="320" w:lineRule="exact"/>
              <w:ind w:firstLine="400" w:firstLineChars="200"/>
              <w:jc w:val="left"/>
              <w:textAlignment w:val="center"/>
              <w:rPr>
                <w:rFonts w:ascii="Arial" w:hAnsi="Arial" w:cs="Arial"/>
                <w:snapToGrid w:val="0"/>
                <w:color w:val="000000"/>
                <w:kern w:val="0"/>
                <w:sz w:val="20"/>
                <w:szCs w:val="21"/>
              </w:rPr>
            </w:pPr>
            <w:r>
              <w:rPr>
                <w:rFonts w:hint="eastAsia" w:ascii="Arial" w:hAnsi="Arial" w:cs="Arial"/>
                <w:snapToGrid w:val="0"/>
                <w:color w:val="000000"/>
                <w:kern w:val="0"/>
                <w:sz w:val="20"/>
                <w:szCs w:val="21"/>
              </w:rPr>
              <w:t>3、意识形态。完善《岳阳市自然资源和规划局落实意识形态工作责任制》。加强了网络舆论管控，及时清理解散“僵尸”QQ工作群，推动“学习强国”平台深化应用。</w:t>
            </w:r>
          </w:p>
          <w:p>
            <w:pPr>
              <w:widowControl/>
              <w:kinsoku w:val="0"/>
              <w:autoSpaceDE w:val="0"/>
              <w:autoSpaceDN w:val="0"/>
              <w:adjustRightInd w:val="0"/>
              <w:snapToGrid w:val="0"/>
              <w:spacing w:line="320" w:lineRule="exact"/>
              <w:ind w:firstLine="400" w:firstLineChars="200"/>
              <w:jc w:val="left"/>
              <w:textAlignment w:val="center"/>
              <w:rPr>
                <w:rFonts w:ascii="Arial" w:hAnsi="Arial" w:cs="Arial"/>
                <w:snapToGrid w:val="0"/>
                <w:color w:val="000000"/>
                <w:kern w:val="0"/>
                <w:sz w:val="20"/>
                <w:szCs w:val="21"/>
              </w:rPr>
            </w:pPr>
          </w:p>
          <w:p>
            <w:pPr>
              <w:widowControl/>
              <w:kinsoku w:val="0"/>
              <w:autoSpaceDE w:val="0"/>
              <w:autoSpaceDN w:val="0"/>
              <w:adjustRightInd w:val="0"/>
              <w:snapToGrid w:val="0"/>
              <w:spacing w:line="320" w:lineRule="exact"/>
              <w:jc w:val="left"/>
              <w:textAlignment w:val="center"/>
              <w:rPr>
                <w:rFonts w:ascii="Arial" w:hAnsi="Arial" w:cs="Arial"/>
                <w:snapToGrid w:val="0"/>
                <w:color w:val="000000"/>
                <w:kern w:val="0"/>
                <w:sz w:val="20"/>
                <w:szCs w:val="21"/>
              </w:rPr>
            </w:pPr>
          </w:p>
          <w:p>
            <w:pPr>
              <w:widowControl/>
              <w:kinsoku w:val="0"/>
              <w:autoSpaceDE w:val="0"/>
              <w:autoSpaceDN w:val="0"/>
              <w:adjustRightInd w:val="0"/>
              <w:snapToGrid w:val="0"/>
              <w:spacing w:line="320" w:lineRule="exact"/>
              <w:jc w:val="left"/>
              <w:textAlignment w:val="center"/>
              <w:rPr>
                <w:rFonts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eastAsia="宋体" w:cs="Arial"/>
                <w:snapToGrid w:val="0"/>
                <w:color w:val="000000"/>
                <w:kern w:val="0"/>
                <w:sz w:val="20"/>
                <w:szCs w:val="21"/>
                <w:lang w:eastAsia="zh-CN"/>
              </w:rPr>
            </w:pPr>
            <w:r>
              <w:rPr>
                <w:rFonts w:hint="eastAsia" w:ascii="Arial" w:hAnsi="Arial" w:cs="Arial"/>
                <w:snapToGrid w:val="0"/>
                <w:color w:val="000000"/>
                <w:kern w:val="0"/>
                <w:sz w:val="20"/>
                <w:szCs w:val="21"/>
              </w:rPr>
              <w:t>4、廉政建设。切实履行党风廉政建设主体责任和“一岗双责”，开展廉政谈话，观看廉政电视教育片2次，严格执纪问责</w:t>
            </w:r>
            <w:r>
              <w:rPr>
                <w:rFonts w:hint="eastAsia" w:ascii="Arial" w:hAnsi="Arial" w:cs="Arial"/>
                <w:snapToGrid w:val="0"/>
                <w:color w:val="000000"/>
                <w:kern w:val="0"/>
                <w:sz w:val="20"/>
                <w:szCs w:val="21"/>
                <w:lang w:eastAsia="zh-CN"/>
              </w:rPr>
              <w:t>。</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ascii="Arial" w:hAnsi="Arial" w:cs="Arial"/>
                <w:snapToGrid w:val="0"/>
                <w:color w:val="000000"/>
                <w:kern w:val="0"/>
                <w:sz w:val="20"/>
                <w:szCs w:val="21"/>
              </w:rPr>
            </w:pPr>
          </w:p>
        </w:tc>
        <w:tc>
          <w:tcPr>
            <w:tcW w:w="4270" w:type="dxa"/>
            <w:gridSpan w:val="4"/>
          </w:tcPr>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一、统筹国土空间总体规划编制</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1、建立了1套主体成果、1个信息平台、5个专项规划、10个专题报告的“1+1+5+10”规划成果体系；制定</w:t>
            </w:r>
            <w:r>
              <w:rPr>
                <w:rFonts w:ascii="Arial" w:hAnsi="Arial" w:cs="Arial"/>
                <w:snapToGrid w:val="0"/>
                <w:color w:val="000000"/>
                <w:kern w:val="0"/>
                <w:sz w:val="20"/>
                <w:szCs w:val="21"/>
              </w:rPr>
              <w:t>《岳阳市开展“三区三线”划定工作方案》</w:t>
            </w:r>
            <w:r>
              <w:rPr>
                <w:rFonts w:hint="eastAsia" w:ascii="Arial" w:hAnsi="Arial" w:cs="Arial"/>
                <w:snapToGrid w:val="0"/>
                <w:color w:val="000000"/>
                <w:kern w:val="0"/>
                <w:sz w:val="20"/>
                <w:szCs w:val="21"/>
              </w:rPr>
              <w:t>，主要领导亲自牵头组成划定专班，研读规则、研析现状、预判发展趋势；</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2、牵头编制了41个片区控规305平方公里，其中已报市政府批准实施20片，已报经市规委会审查通过16片，剩余5片正在组织编制规划方案，同时强化国土空间规划管控，出台《关于开展城镇开发边界内控制性详细规划实施评估工作的实施方案》。</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3、编制了500个村庄规划方案，在全省</w:t>
            </w:r>
            <w:r>
              <w:rPr>
                <w:rFonts w:ascii="Arial" w:hAnsi="Arial" w:cs="Arial"/>
                <w:snapToGrid w:val="0"/>
                <w:color w:val="000000"/>
                <w:kern w:val="0"/>
                <w:sz w:val="20"/>
                <w:szCs w:val="21"/>
              </w:rPr>
              <w:t>优秀国土空间规划设计和案例展评活动</w:t>
            </w:r>
            <w:r>
              <w:rPr>
                <w:rFonts w:hint="eastAsia" w:ascii="Arial" w:hAnsi="Arial" w:cs="Arial"/>
                <w:snapToGrid w:val="0"/>
                <w:color w:val="000000"/>
                <w:kern w:val="0"/>
                <w:sz w:val="20"/>
                <w:szCs w:val="21"/>
              </w:rPr>
              <w:t>中，我市获得一等奖3个、二等奖1个、优胜奖3个，其中岳阳县张谷英镇张谷英村村庄规划、临湘市江南镇洋溪村村庄规划同时获得省厅一等奖</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二、稳经济大盘，优化营商环境</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1、特事特办，破解发展难题，2022年，全市报批建设用地项目152宗744.69公顷，其中市中心城区30宗189.67公顷；争资争项到位资金3943万元，完成比例排市直单位第一。</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2、2022年，全市共供应国有建设用地915宗，面积2278.9公顷，其中出让用地571宗，面积1630.7公顷，土地价款206.4亿元，市中心城区出让用地209宗，面积910.9公顷，土地价款128.2亿元；全年入库契税19.52亿元，同比增长16.4%。强化砂石保供支撑，向上对接争取支持，向下协调排难解困，建筑用石料采矿权出让有序推进，今年出让省级建筑用石料采矿权2宗，分别为汨罗、临湘创收1.84亿元和1.04亿元；出让市级发证建筑用石料采矿权2宗，为市县两级财政创收6279.36万元。</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3、全年处置批而未供土地215宗1273公顷，处置闲置土地54宗201.27公顷，盘活利用38宗106.4公顷存量土地，实现土地收益49.83亿元，完成省厅规定年度处置任务，园区三类低效土地处置全省排名第2。</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4、按简政放权、放管结合和“园区事园区办”要求，向各区政府（管委会）放权赋权112项。出台了《损害营商环境行为责任追究实施细则》，倒逼责任落实、服务更优。在省、市部署的“送、解、优”专项行动中，省市区交办问题化解率全市排名第一。</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三、实现了耕地和永久基本农田应保尽保、生态保护红线全面优化、城镇开发边界合理划定的目标，</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1、由书记、市长担任“双田长”，设立田长科，全面建立“一长三员”，创新“三员”（即农技员、执法员和监管员）联农户工作机制，建立乡镇田长137个，村级田长1714个，网格田长4865个，建立了严格耕地保护案件移送的责任追究机制和“田长+检察长”协作机制；试点“三长”联动机制，整合田长、河湖长、林长，实行“一巡三查”。自然资源部、省自然资源厅对我市典型做法进行推介，中国自然资源报先后2次刊发推介</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2、完成耕地保护专项规划编制，将全市523.04万亩耕地底线目标和水田带位置足额下达到村组户；从严从紧控制建设占用耕地，全市建设占用耕地同比下降51.72%；新增耕地4465亩，其中补充耕地292亩，恢复耕地1594亩，农民自主开垦2579亩。</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四、地灾防治、不动产登记服务等综合服务方面</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1、抓牢抓实地灾防治。开展临湘市羊楼司镇精准预警和避险转移试点，成效获自然资源部、中国气象局联合调研组充分肯定。典型经验在中国自然资源报刊发推介。2022年，全市共发生地质灾害63起，成功预报险情15起，转移群众2589人，避免经济损失2221.6万元，实现地灾隐患点“零伤亡”</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2、出台《岳阳市推进新建商品房交房即交证改革实施方案》，全市44个商品房项目已实施改革，已颁发不动产权证书17050 本；全市纳入集中化解的124个问题楼盘，已完成化解112个，化解率达到90.3%，化解户数41077户，切实增强了人民群众安全感、幸福感</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3、强力推进违法建设治理和自建房安全整治工作。成立了自建房安全隐患排查整治专班，印发专项行动实施方案，召开高规格部署大会，现场通报了中心城区6区20项728处自建房违法建设问题，做到以安全隐患排查推进违法建设治理，以违法建设治理真正消除安全隐患。2022年，全市拆除各类违法建设4608处61.6万平方米，拆除安全隐患自建房921栋16.5万平方米，排查高层建筑1315栋，涉及违法建设37处</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4、深入推进生态修复。将历史遗留矿山生态修复工作纳入我市“污染防治攻坚战”，编制了实施方案稳步推进，今年全面完成历史遗留矿山生态修复任务91.22公顷和污染防治攻坚战“夏季攻势”销号，高效、全面解决了长江经济带废弃露天矿山生态修复和矿产资源开发利用监管等方面的问题；全市建成绿色矿山16家，绿色矿山建设成效获市人大评议“满意”；积极组织申报、成功获批总投资23.489亿元的洞庭湖区域山水林田湖草沙一体化保护和修复工程，争取中央、省级资金10.41亿元；向省厅争取300万元土地复垦项目资金，推动腌菜加工转型升级，3年逐步取缔土坑腌制</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五、加强党建工作，紧抓廉政建设</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1、强化政治建设。建立了党组主体责任、党组书记第一责任人责任、班子成员“一岗双责”、纪委监督责任“四责协同”机制，各个责任主体齐心协力、同向发力，构建“知责明责、履责督责、考责问责”的责任闭环。召开党组会10次研究部署党的建设、党风廉政建设和反腐败工作</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2、强化组织建设。巩固深化领导班子建设，健全理顺执法队伍；以“四亮四强”主题活动为抓手，锻造坚强有力的战斗堡垒，充分激发党员先锋模范意识，构建“三表率一模范”政治机关；坚定落实“第一议题”制度，开展党组理论中心组学习18次，建立“学习强国”、专题辅导培训、青年理论学习小组等学习链条。</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3、强化意识形态建设。印发《中共岳阳市自然资源和规划局落实意识形态工作责任制实施细则》，健全意识形态工作机制；完善《岳阳市自然资源和规划局处置突发舆情应急预案》，严格落实领导干部信访维稳包案制度，妥善处理信访件30余件；加强自媒体阵地的管控，严格落实对网上、掌上公开内容的审批，及时清理解散“僵尸”QQ群、微信群，开展重要节点宣传教育活动，推动“学习强国”平台深化应用。</w:t>
            </w:r>
          </w:p>
          <w:p>
            <w:pPr>
              <w:widowControl/>
              <w:kinsoku w:val="0"/>
              <w:autoSpaceDE w:val="0"/>
              <w:autoSpaceDN w:val="0"/>
              <w:adjustRightInd w:val="0"/>
              <w:snapToGrid w:val="0"/>
              <w:spacing w:line="240" w:lineRule="exact"/>
              <w:jc w:val="left"/>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4、强化廉政建设。以“清廉资规”建设为抓手，向全体干部职工及其家属发出清廉公开信、助廉倡议书，建设清廉文化长廊、清廉地理信息展厅，制作湖南红色廉政文化示意图，举办清廉书画展、清廉讲堂，选树“清廉家庭”14户、“清廉单位”1个、“清廉科室”5个、“清廉岗位”16个，推动廉洁文化进机关、进家庭。创新建立了“特约评议员”制度，</w:t>
            </w:r>
            <w:r>
              <w:rPr>
                <w:rFonts w:ascii="Arial" w:hAnsi="Arial" w:cs="Arial"/>
                <w:snapToGrid w:val="0"/>
                <w:color w:val="000000"/>
                <w:kern w:val="0"/>
                <w:sz w:val="20"/>
                <w:szCs w:val="21"/>
              </w:rPr>
              <w:t>聘请企业、群众特约评议员</w:t>
            </w:r>
            <w:r>
              <w:rPr>
                <w:rFonts w:hint="eastAsia" w:ascii="Arial" w:hAnsi="Arial" w:cs="Arial"/>
                <w:snapToGrid w:val="0"/>
                <w:color w:val="000000"/>
                <w:kern w:val="0"/>
                <w:sz w:val="20"/>
                <w:szCs w:val="21"/>
              </w:rPr>
              <w:t>16名</w:t>
            </w:r>
            <w:r>
              <w:rPr>
                <w:rFonts w:ascii="Arial" w:hAnsi="Arial" w:cs="Arial"/>
                <w:snapToGrid w:val="0"/>
                <w:color w:val="000000"/>
                <w:kern w:val="0"/>
                <w:sz w:val="20"/>
                <w:szCs w:val="21"/>
              </w:rPr>
              <w:t>，</w:t>
            </w:r>
            <w:r>
              <w:rPr>
                <w:rFonts w:hint="eastAsia" w:ascii="Arial" w:hAnsi="Arial" w:cs="Arial"/>
                <w:snapToGrid w:val="0"/>
                <w:color w:val="000000"/>
                <w:kern w:val="0"/>
                <w:sz w:val="20"/>
                <w:szCs w:val="21"/>
              </w:rPr>
              <w:t>构建亲清新型政商关系；紧盯关键环节，梳理廉政风险点385个，制定完善相应防控措施；扎实开展国家公职人员打牌赌博和违规吃喝问题专项整治行动，全覆盖开展违规收送红包礼金专项整治，签订承诺书346份</w:t>
            </w:r>
            <w:r>
              <w:rPr>
                <w:rFonts w:hint="eastAsia" w:ascii="仿宋_GB2312" w:hAnsi="仿宋_GB2312" w:eastAsia="仿宋_GB2312" w:cs="仿宋_GB2312"/>
                <w:snapToGrid w:val="0"/>
                <w:color w:val="000000"/>
                <w:kern w:val="0"/>
                <w:sz w:val="32"/>
                <w:szCs w:val="3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jc w:val="center"/>
        </w:trPr>
        <w:tc>
          <w:tcPr>
            <w:tcW w:w="1074" w:type="dxa"/>
            <w:vMerge w:val="restart"/>
            <w:tcBorders>
              <w:bottom w:val="nil"/>
            </w:tcBorders>
            <w:textDirection w:val="tbRlV"/>
          </w:tcPr>
          <w:p>
            <w:pPr>
              <w:widowControl/>
              <w:kinsoku w:val="0"/>
              <w:autoSpaceDE w:val="0"/>
              <w:autoSpaceDN w:val="0"/>
              <w:adjustRightInd w:val="0"/>
              <w:snapToGrid w:val="0"/>
              <w:spacing w:line="360" w:lineRule="auto"/>
              <w:jc w:val="left"/>
              <w:textAlignment w:val="baseline"/>
              <w:rPr>
                <w:rFonts w:ascii="Arial" w:hAnsi="Arial" w:cs="Arial"/>
                <w:snapToGrid w:val="0"/>
                <w:color w:val="000000"/>
                <w:kern w:val="0"/>
                <w:szCs w:val="21"/>
              </w:rPr>
            </w:pPr>
          </w:p>
          <w:p>
            <w:pPr>
              <w:widowControl/>
              <w:kinsoku w:val="0"/>
              <w:autoSpaceDE w:val="0"/>
              <w:autoSpaceDN w:val="0"/>
              <w:adjustRightInd w:val="0"/>
              <w:snapToGrid w:val="0"/>
              <w:spacing w:before="67" w:line="217" w:lineRule="auto"/>
              <w:ind w:left="3342"/>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6"/>
                <w:kern w:val="0"/>
                <w:sz w:val="20"/>
                <w:szCs w:val="20"/>
              </w:rPr>
              <w:t>绩效指标</w:t>
            </w:r>
          </w:p>
        </w:tc>
        <w:tc>
          <w:tcPr>
            <w:tcW w:w="1069" w:type="dxa"/>
          </w:tcPr>
          <w:p>
            <w:pPr>
              <w:widowControl/>
              <w:kinsoku w:val="0"/>
              <w:autoSpaceDE w:val="0"/>
              <w:autoSpaceDN w:val="0"/>
              <w:adjustRightInd w:val="0"/>
              <w:snapToGrid w:val="0"/>
              <w:spacing w:before="150" w:line="220" w:lineRule="auto"/>
              <w:ind w:left="12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一级指标</w:t>
            </w:r>
          </w:p>
        </w:tc>
        <w:tc>
          <w:tcPr>
            <w:tcW w:w="1009" w:type="dxa"/>
          </w:tcPr>
          <w:p>
            <w:pPr>
              <w:widowControl/>
              <w:kinsoku w:val="0"/>
              <w:autoSpaceDE w:val="0"/>
              <w:autoSpaceDN w:val="0"/>
              <w:adjustRightInd w:val="0"/>
              <w:snapToGrid w:val="0"/>
              <w:spacing w:before="150" w:line="220" w:lineRule="auto"/>
              <w:ind w:left="92"/>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二级指标</w:t>
            </w:r>
          </w:p>
        </w:tc>
        <w:tc>
          <w:tcPr>
            <w:tcW w:w="1526" w:type="dxa"/>
            <w:gridSpan w:val="2"/>
          </w:tcPr>
          <w:p>
            <w:pPr>
              <w:widowControl/>
              <w:kinsoku w:val="0"/>
              <w:autoSpaceDE w:val="0"/>
              <w:autoSpaceDN w:val="0"/>
              <w:adjustRightInd w:val="0"/>
              <w:snapToGrid w:val="0"/>
              <w:spacing w:before="150" w:line="220" w:lineRule="auto"/>
              <w:ind w:left="222"/>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三级指标</w:t>
            </w:r>
          </w:p>
        </w:tc>
        <w:tc>
          <w:tcPr>
            <w:tcW w:w="1051" w:type="dxa"/>
          </w:tcPr>
          <w:p>
            <w:pPr>
              <w:widowControl/>
              <w:kinsoku w:val="0"/>
              <w:autoSpaceDE w:val="0"/>
              <w:autoSpaceDN w:val="0"/>
              <w:adjustRightInd w:val="0"/>
              <w:snapToGrid w:val="0"/>
              <w:spacing w:before="150" w:line="219" w:lineRule="auto"/>
              <w:ind w:left="114"/>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年度指标值</w:t>
            </w:r>
          </w:p>
        </w:tc>
        <w:tc>
          <w:tcPr>
            <w:tcW w:w="1259" w:type="dxa"/>
          </w:tcPr>
          <w:p>
            <w:pPr>
              <w:widowControl/>
              <w:kinsoku w:val="0"/>
              <w:autoSpaceDE w:val="0"/>
              <w:autoSpaceDN w:val="0"/>
              <w:adjustRightInd w:val="0"/>
              <w:snapToGrid w:val="0"/>
              <w:spacing w:before="150" w:line="219" w:lineRule="auto"/>
              <w:ind w:left="105"/>
              <w:jc w:val="left"/>
              <w:textAlignment w:val="baseline"/>
              <w:rPr>
                <w:rFonts w:ascii="Arial" w:hAnsi="Arial" w:cs="Arial"/>
                <w:snapToGrid w:val="0"/>
                <w:color w:val="000000"/>
                <w:kern w:val="0"/>
                <w:sz w:val="20"/>
                <w:szCs w:val="21"/>
              </w:rPr>
            </w:pPr>
            <w:r>
              <w:rPr>
                <w:rFonts w:ascii="Arial" w:hAnsi="Arial" w:cs="Arial"/>
                <w:snapToGrid w:val="0"/>
                <w:color w:val="000000"/>
                <w:kern w:val="0"/>
                <w:sz w:val="20"/>
                <w:szCs w:val="21"/>
              </w:rPr>
              <w:t>实际完成值</w:t>
            </w:r>
          </w:p>
        </w:tc>
        <w:tc>
          <w:tcPr>
            <w:tcW w:w="709" w:type="dxa"/>
          </w:tcPr>
          <w:p>
            <w:pPr>
              <w:widowControl/>
              <w:kinsoku w:val="0"/>
              <w:autoSpaceDE w:val="0"/>
              <w:autoSpaceDN w:val="0"/>
              <w:adjustRightInd w:val="0"/>
              <w:snapToGrid w:val="0"/>
              <w:spacing w:before="150" w:line="219" w:lineRule="auto"/>
              <w:ind w:left="146"/>
              <w:jc w:val="left"/>
              <w:textAlignment w:val="baseline"/>
              <w:rPr>
                <w:rFonts w:ascii="Arial" w:hAnsi="Arial" w:cs="Arial"/>
                <w:snapToGrid w:val="0"/>
                <w:color w:val="000000"/>
                <w:kern w:val="0"/>
                <w:sz w:val="20"/>
                <w:szCs w:val="21"/>
              </w:rPr>
            </w:pPr>
            <w:r>
              <w:rPr>
                <w:rFonts w:ascii="Arial" w:hAnsi="Arial" w:cs="Arial"/>
                <w:snapToGrid w:val="0"/>
                <w:color w:val="000000"/>
                <w:kern w:val="0"/>
                <w:sz w:val="20"/>
                <w:szCs w:val="21"/>
              </w:rPr>
              <w:t>分值</w:t>
            </w:r>
          </w:p>
        </w:tc>
        <w:tc>
          <w:tcPr>
            <w:tcW w:w="869" w:type="dxa"/>
          </w:tcPr>
          <w:p>
            <w:pPr>
              <w:widowControl/>
              <w:kinsoku w:val="0"/>
              <w:autoSpaceDE w:val="0"/>
              <w:autoSpaceDN w:val="0"/>
              <w:adjustRightInd w:val="0"/>
              <w:snapToGrid w:val="0"/>
              <w:spacing w:before="150" w:line="219" w:lineRule="auto"/>
              <w:ind w:left="227"/>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得分</w:t>
            </w:r>
          </w:p>
        </w:tc>
        <w:tc>
          <w:tcPr>
            <w:tcW w:w="1433" w:type="dxa"/>
          </w:tcPr>
          <w:p>
            <w:pPr>
              <w:widowControl/>
              <w:kinsoku w:val="0"/>
              <w:autoSpaceDE w:val="0"/>
              <w:autoSpaceDN w:val="0"/>
              <w:adjustRightInd w:val="0"/>
              <w:snapToGrid w:val="0"/>
              <w:spacing w:before="40" w:line="218" w:lineRule="auto"/>
              <w:ind w:left="108" w:right="121"/>
              <w:jc w:val="left"/>
              <w:textAlignment w:val="baseline"/>
              <w:rPr>
                <w:rFonts w:ascii="宋体" w:hAnsi="宋体" w:eastAsia="宋体" w:cs="宋体"/>
                <w:snapToGrid w:val="0"/>
                <w:color w:val="000000"/>
                <w:kern w:val="0"/>
                <w:sz w:val="19"/>
                <w:szCs w:val="19"/>
              </w:rPr>
            </w:pPr>
            <w:r>
              <w:rPr>
                <w:rFonts w:ascii="宋体" w:hAnsi="宋体" w:eastAsia="宋体" w:cs="宋体"/>
                <w:snapToGrid w:val="0"/>
                <w:color w:val="000000"/>
                <w:spacing w:val="8"/>
                <w:kern w:val="0"/>
                <w:sz w:val="19"/>
                <w:szCs w:val="19"/>
              </w:rPr>
              <w:t>偏差原因分析及改进措施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jc w:val="center"/>
        </w:trPr>
        <w:tc>
          <w:tcPr>
            <w:tcW w:w="1074" w:type="dxa"/>
            <w:vMerge w:val="continue"/>
            <w:tcBorders>
              <w:top w:val="nil"/>
              <w:bottom w:val="nil"/>
            </w:tcBorders>
            <w:textDirection w:val="tbRlV"/>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69" w:type="dxa"/>
            <w:vMerge w:val="restart"/>
            <w:tcBorders>
              <w:bottom w:val="nil"/>
            </w:tcBorders>
          </w:tcPr>
          <w:p>
            <w:pPr>
              <w:widowControl/>
              <w:kinsoku w:val="0"/>
              <w:autoSpaceDE w:val="0"/>
              <w:autoSpaceDN w:val="0"/>
              <w:adjustRightInd w:val="0"/>
              <w:snapToGrid w:val="0"/>
              <w:spacing w:line="267" w:lineRule="auto"/>
              <w:jc w:val="left"/>
              <w:textAlignment w:val="baseline"/>
              <w:rPr>
                <w:rFonts w:ascii="Arial" w:hAnsi="Arial" w:cs="Arial"/>
                <w:snapToGrid w:val="0"/>
                <w:color w:val="000000"/>
                <w:kern w:val="0"/>
                <w:szCs w:val="21"/>
              </w:rPr>
            </w:pPr>
          </w:p>
          <w:p>
            <w:pPr>
              <w:widowControl/>
              <w:kinsoku w:val="0"/>
              <w:autoSpaceDE w:val="0"/>
              <w:autoSpaceDN w:val="0"/>
              <w:adjustRightInd w:val="0"/>
              <w:snapToGrid w:val="0"/>
              <w:spacing w:line="267" w:lineRule="auto"/>
              <w:jc w:val="left"/>
              <w:textAlignment w:val="baseline"/>
              <w:rPr>
                <w:rFonts w:ascii="Arial" w:hAnsi="Arial" w:cs="Arial"/>
                <w:snapToGrid w:val="0"/>
                <w:color w:val="000000"/>
                <w:kern w:val="0"/>
                <w:szCs w:val="21"/>
              </w:rPr>
            </w:pPr>
          </w:p>
          <w:p>
            <w:pPr>
              <w:widowControl/>
              <w:kinsoku w:val="0"/>
              <w:autoSpaceDE w:val="0"/>
              <w:autoSpaceDN w:val="0"/>
              <w:adjustRightInd w:val="0"/>
              <w:snapToGrid w:val="0"/>
              <w:spacing w:line="267" w:lineRule="auto"/>
              <w:jc w:val="left"/>
              <w:textAlignment w:val="baseline"/>
              <w:rPr>
                <w:rFonts w:ascii="Arial" w:hAnsi="Arial" w:cs="Arial"/>
                <w:snapToGrid w:val="0"/>
                <w:color w:val="000000"/>
                <w:kern w:val="0"/>
                <w:szCs w:val="21"/>
              </w:rPr>
            </w:pPr>
          </w:p>
          <w:p>
            <w:pPr>
              <w:widowControl/>
              <w:kinsoku w:val="0"/>
              <w:autoSpaceDE w:val="0"/>
              <w:autoSpaceDN w:val="0"/>
              <w:adjustRightInd w:val="0"/>
              <w:snapToGrid w:val="0"/>
              <w:spacing w:line="268" w:lineRule="auto"/>
              <w:jc w:val="left"/>
              <w:textAlignment w:val="baseline"/>
              <w:rPr>
                <w:rFonts w:ascii="Arial" w:hAnsi="Arial" w:cs="Arial"/>
                <w:snapToGrid w:val="0"/>
                <w:color w:val="000000"/>
                <w:kern w:val="0"/>
                <w:szCs w:val="21"/>
              </w:rPr>
            </w:pPr>
          </w:p>
          <w:p>
            <w:pPr>
              <w:widowControl/>
              <w:kinsoku w:val="0"/>
              <w:autoSpaceDE w:val="0"/>
              <w:autoSpaceDN w:val="0"/>
              <w:adjustRightInd w:val="0"/>
              <w:snapToGrid w:val="0"/>
              <w:spacing w:before="65" w:line="501" w:lineRule="exact"/>
              <w:ind w:left="12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position w:val="23"/>
                <w:sz w:val="20"/>
                <w:szCs w:val="20"/>
              </w:rPr>
              <w:t>产出指标</w:t>
            </w:r>
          </w:p>
          <w:p>
            <w:pPr>
              <w:widowControl/>
              <w:kinsoku w:val="0"/>
              <w:autoSpaceDE w:val="0"/>
              <w:autoSpaceDN w:val="0"/>
              <w:adjustRightInd w:val="0"/>
              <w:snapToGrid w:val="0"/>
              <w:spacing w:line="220" w:lineRule="auto"/>
              <w:ind w:left="22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8"/>
                <w:kern w:val="0"/>
                <w:sz w:val="20"/>
                <w:szCs w:val="20"/>
              </w:rPr>
              <w:t>(50分)</w:t>
            </w:r>
          </w:p>
        </w:tc>
        <w:tc>
          <w:tcPr>
            <w:tcW w:w="1009" w:type="dxa"/>
            <w:vMerge w:val="restart"/>
          </w:tcPr>
          <w:p>
            <w:pPr>
              <w:widowControl/>
              <w:kinsoku w:val="0"/>
              <w:autoSpaceDE w:val="0"/>
              <w:autoSpaceDN w:val="0"/>
              <w:adjustRightInd w:val="0"/>
              <w:snapToGrid w:val="0"/>
              <w:spacing w:before="271" w:line="219" w:lineRule="auto"/>
              <w:ind w:left="92"/>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数量指标</w:t>
            </w:r>
          </w:p>
        </w:tc>
        <w:tc>
          <w:tcPr>
            <w:tcW w:w="1526" w:type="dxa"/>
            <w:gridSpan w:val="2"/>
          </w:tcPr>
          <w:p>
            <w:pPr>
              <w:widowControl/>
              <w:kinsoku w:val="0"/>
              <w:autoSpaceDE w:val="0"/>
              <w:autoSpaceDN w:val="0"/>
              <w:adjustRightInd w:val="0"/>
              <w:snapToGrid w:val="0"/>
              <w:spacing w:line="23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1、建立乡镇田长</w:t>
            </w:r>
          </w:p>
        </w:tc>
        <w:tc>
          <w:tcPr>
            <w:tcW w:w="1051" w:type="dxa"/>
          </w:tcPr>
          <w:p>
            <w:pPr>
              <w:widowControl/>
              <w:kinsoku w:val="0"/>
              <w:autoSpaceDE w:val="0"/>
              <w:autoSpaceDN w:val="0"/>
              <w:adjustRightInd w:val="0"/>
              <w:snapToGrid w:val="0"/>
              <w:spacing w:line="23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137</w:t>
            </w:r>
          </w:p>
        </w:tc>
        <w:tc>
          <w:tcPr>
            <w:tcW w:w="1259" w:type="dxa"/>
          </w:tcPr>
          <w:p>
            <w:pPr>
              <w:widowControl/>
              <w:kinsoku w:val="0"/>
              <w:autoSpaceDE w:val="0"/>
              <w:autoSpaceDN w:val="0"/>
              <w:adjustRightInd w:val="0"/>
              <w:snapToGrid w:val="0"/>
              <w:spacing w:line="23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137</w:t>
            </w:r>
          </w:p>
        </w:tc>
        <w:tc>
          <w:tcPr>
            <w:tcW w:w="709" w:type="dxa"/>
          </w:tcPr>
          <w:p>
            <w:pPr>
              <w:widowControl/>
              <w:kinsoku w:val="0"/>
              <w:autoSpaceDE w:val="0"/>
              <w:autoSpaceDN w:val="0"/>
              <w:adjustRightInd w:val="0"/>
              <w:snapToGrid w:val="0"/>
              <w:spacing w:line="23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3.125</w:t>
            </w:r>
          </w:p>
        </w:tc>
        <w:tc>
          <w:tcPr>
            <w:tcW w:w="869" w:type="dxa"/>
          </w:tcPr>
          <w:p>
            <w:pPr>
              <w:widowControl/>
              <w:kinsoku w:val="0"/>
              <w:autoSpaceDE w:val="0"/>
              <w:autoSpaceDN w:val="0"/>
              <w:adjustRightInd w:val="0"/>
              <w:snapToGrid w:val="0"/>
              <w:spacing w:line="23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3.125</w:t>
            </w:r>
          </w:p>
        </w:tc>
        <w:tc>
          <w:tcPr>
            <w:tcW w:w="1433" w:type="dxa"/>
          </w:tcPr>
          <w:p>
            <w:pPr>
              <w:widowControl/>
              <w:kinsoku w:val="0"/>
              <w:autoSpaceDE w:val="0"/>
              <w:autoSpaceDN w:val="0"/>
              <w:adjustRightInd w:val="0"/>
              <w:snapToGrid w:val="0"/>
              <w:spacing w:line="230" w:lineRule="exact"/>
              <w:jc w:val="left"/>
              <w:textAlignment w:val="baseline"/>
              <w:rPr>
                <w:rFonts w:ascii="Arial" w:hAnsi="Arial" w:cs="Arial"/>
                <w:snapToGrid w:val="0"/>
                <w:color w:val="0000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jc w:val="center"/>
        </w:trPr>
        <w:tc>
          <w:tcPr>
            <w:tcW w:w="1074" w:type="dxa"/>
            <w:vMerge w:val="continue"/>
            <w:tcBorders>
              <w:top w:val="nil"/>
              <w:bottom w:val="nil"/>
            </w:tcBorders>
            <w:textDirection w:val="tbRlV"/>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69"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09" w:type="dxa"/>
            <w:vMerge w:val="continue"/>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526" w:type="dxa"/>
            <w:gridSpan w:val="2"/>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 w:val="20"/>
                <w:szCs w:val="21"/>
              </w:rPr>
              <w:t>2、全市建设占用耕地同比下降</w:t>
            </w:r>
          </w:p>
        </w:tc>
        <w:tc>
          <w:tcPr>
            <w:tcW w:w="1051" w:type="dxa"/>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50%</w:t>
            </w:r>
          </w:p>
        </w:tc>
        <w:tc>
          <w:tcPr>
            <w:tcW w:w="1259" w:type="dxa"/>
          </w:tcPr>
          <w:p>
            <w:pPr>
              <w:widowControl/>
              <w:kinsoku w:val="0"/>
              <w:autoSpaceDE w:val="0"/>
              <w:autoSpaceDN w:val="0"/>
              <w:adjustRightInd w:val="0"/>
              <w:snapToGrid w:val="0"/>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51.72%</w:t>
            </w:r>
          </w:p>
        </w:tc>
        <w:tc>
          <w:tcPr>
            <w:tcW w:w="709" w:type="dxa"/>
          </w:tcPr>
          <w:p>
            <w:pPr>
              <w:widowControl/>
              <w:kinsoku w:val="0"/>
              <w:autoSpaceDE w:val="0"/>
              <w:autoSpaceDN w:val="0"/>
              <w:adjustRightInd w:val="0"/>
              <w:snapToGrid w:val="0"/>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3.125</w:t>
            </w:r>
          </w:p>
        </w:tc>
        <w:tc>
          <w:tcPr>
            <w:tcW w:w="869" w:type="dxa"/>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 w:val="20"/>
                <w:szCs w:val="21"/>
              </w:rPr>
              <w:t>3.125</w:t>
            </w:r>
          </w:p>
        </w:tc>
        <w:tc>
          <w:tcPr>
            <w:tcW w:w="1433" w:type="dxa"/>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jc w:val="center"/>
        </w:trPr>
        <w:tc>
          <w:tcPr>
            <w:tcW w:w="1074" w:type="dxa"/>
            <w:vMerge w:val="continue"/>
            <w:tcBorders>
              <w:top w:val="nil"/>
              <w:bottom w:val="nil"/>
            </w:tcBorders>
            <w:textDirection w:val="tbRlV"/>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69"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09" w:type="dxa"/>
            <w:vMerge w:val="continue"/>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526" w:type="dxa"/>
            <w:gridSpan w:val="2"/>
          </w:tcPr>
          <w:p>
            <w:pPr>
              <w:widowControl/>
              <w:kinsoku w:val="0"/>
              <w:autoSpaceDE w:val="0"/>
              <w:autoSpaceDN w:val="0"/>
              <w:adjustRightInd w:val="0"/>
              <w:snapToGrid w:val="0"/>
              <w:spacing w:line="239" w:lineRule="exact"/>
              <w:jc w:val="left"/>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3、禁拆治违年中心城区拆违建筑</w:t>
            </w:r>
          </w:p>
        </w:tc>
        <w:tc>
          <w:tcPr>
            <w:tcW w:w="1051" w:type="dxa"/>
          </w:tcPr>
          <w:p>
            <w:pPr>
              <w:widowControl/>
              <w:kinsoku w:val="0"/>
              <w:autoSpaceDE w:val="0"/>
              <w:autoSpaceDN w:val="0"/>
              <w:adjustRightInd w:val="0"/>
              <w:snapToGrid w:val="0"/>
              <w:spacing w:line="239" w:lineRule="exact"/>
              <w:jc w:val="left"/>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 xml:space="preserve">   2858处  </w:t>
            </w:r>
          </w:p>
        </w:tc>
        <w:tc>
          <w:tcPr>
            <w:tcW w:w="1259" w:type="dxa"/>
          </w:tcPr>
          <w:p>
            <w:pPr>
              <w:widowControl/>
              <w:kinsoku w:val="0"/>
              <w:autoSpaceDE w:val="0"/>
              <w:autoSpaceDN w:val="0"/>
              <w:adjustRightInd w:val="0"/>
              <w:snapToGrid w:val="0"/>
              <w:spacing w:line="239"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4608处</w:t>
            </w:r>
          </w:p>
        </w:tc>
        <w:tc>
          <w:tcPr>
            <w:tcW w:w="709" w:type="dxa"/>
          </w:tcPr>
          <w:p>
            <w:pPr>
              <w:widowControl/>
              <w:kinsoku w:val="0"/>
              <w:autoSpaceDE w:val="0"/>
              <w:autoSpaceDN w:val="0"/>
              <w:adjustRightInd w:val="0"/>
              <w:snapToGrid w:val="0"/>
              <w:spacing w:line="239"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3.125</w:t>
            </w:r>
          </w:p>
        </w:tc>
        <w:tc>
          <w:tcPr>
            <w:tcW w:w="869" w:type="dxa"/>
          </w:tcPr>
          <w:p>
            <w:pPr>
              <w:widowControl/>
              <w:kinsoku w:val="0"/>
              <w:autoSpaceDE w:val="0"/>
              <w:autoSpaceDN w:val="0"/>
              <w:adjustRightInd w:val="0"/>
              <w:snapToGrid w:val="0"/>
              <w:spacing w:line="239"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3.125</w:t>
            </w:r>
          </w:p>
        </w:tc>
        <w:tc>
          <w:tcPr>
            <w:tcW w:w="1433" w:type="dxa"/>
          </w:tcPr>
          <w:p>
            <w:pPr>
              <w:widowControl/>
              <w:kinsoku w:val="0"/>
              <w:autoSpaceDE w:val="0"/>
              <w:autoSpaceDN w:val="0"/>
              <w:adjustRightInd w:val="0"/>
              <w:snapToGrid w:val="0"/>
              <w:spacing w:line="239" w:lineRule="exact"/>
              <w:jc w:val="left"/>
              <w:textAlignment w:val="baseline"/>
              <w:rPr>
                <w:rFonts w:ascii="Arial" w:hAnsi="Arial" w:cs="Arial"/>
                <w:snapToGrid w:val="0"/>
                <w:color w:val="0000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jc w:val="center"/>
        </w:trPr>
        <w:tc>
          <w:tcPr>
            <w:tcW w:w="1074" w:type="dxa"/>
            <w:vMerge w:val="continue"/>
            <w:tcBorders>
              <w:top w:val="nil"/>
              <w:bottom w:val="nil"/>
            </w:tcBorders>
            <w:textDirection w:val="tbRlV"/>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69"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09" w:type="dxa"/>
            <w:vMerge w:val="continue"/>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526" w:type="dxa"/>
            <w:gridSpan w:val="2"/>
          </w:tcPr>
          <w:p>
            <w:pPr>
              <w:widowControl/>
              <w:kinsoku w:val="0"/>
              <w:autoSpaceDE w:val="0"/>
              <w:autoSpaceDN w:val="0"/>
              <w:adjustRightInd w:val="0"/>
              <w:snapToGrid w:val="0"/>
              <w:spacing w:line="239" w:lineRule="exact"/>
              <w:jc w:val="left"/>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4、计划全年非税收入</w:t>
            </w:r>
          </w:p>
        </w:tc>
        <w:tc>
          <w:tcPr>
            <w:tcW w:w="1051" w:type="dxa"/>
          </w:tcPr>
          <w:p>
            <w:pPr>
              <w:widowControl/>
              <w:kinsoku w:val="0"/>
              <w:autoSpaceDE w:val="0"/>
              <w:autoSpaceDN w:val="0"/>
              <w:adjustRightInd w:val="0"/>
              <w:snapToGrid w:val="0"/>
              <w:spacing w:line="239" w:lineRule="exact"/>
              <w:jc w:val="left"/>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17400万元</w:t>
            </w:r>
          </w:p>
        </w:tc>
        <w:tc>
          <w:tcPr>
            <w:tcW w:w="1259" w:type="dxa"/>
          </w:tcPr>
          <w:p>
            <w:pPr>
              <w:widowControl/>
              <w:kinsoku w:val="0"/>
              <w:autoSpaceDE w:val="0"/>
              <w:autoSpaceDN w:val="0"/>
              <w:adjustRightInd w:val="0"/>
              <w:snapToGrid w:val="0"/>
              <w:spacing w:line="239"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106．52亿元元</w:t>
            </w:r>
          </w:p>
        </w:tc>
        <w:tc>
          <w:tcPr>
            <w:tcW w:w="709" w:type="dxa"/>
          </w:tcPr>
          <w:p>
            <w:pPr>
              <w:widowControl/>
              <w:kinsoku w:val="0"/>
              <w:autoSpaceDE w:val="0"/>
              <w:autoSpaceDN w:val="0"/>
              <w:adjustRightInd w:val="0"/>
              <w:snapToGrid w:val="0"/>
              <w:spacing w:line="239"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3.125</w:t>
            </w:r>
          </w:p>
        </w:tc>
        <w:tc>
          <w:tcPr>
            <w:tcW w:w="869" w:type="dxa"/>
          </w:tcPr>
          <w:p>
            <w:pPr>
              <w:widowControl/>
              <w:kinsoku w:val="0"/>
              <w:autoSpaceDE w:val="0"/>
              <w:autoSpaceDN w:val="0"/>
              <w:adjustRightInd w:val="0"/>
              <w:snapToGrid w:val="0"/>
              <w:spacing w:line="239"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3.125</w:t>
            </w:r>
          </w:p>
        </w:tc>
        <w:tc>
          <w:tcPr>
            <w:tcW w:w="1433" w:type="dxa"/>
          </w:tcPr>
          <w:p>
            <w:pPr>
              <w:widowControl/>
              <w:kinsoku w:val="0"/>
              <w:autoSpaceDE w:val="0"/>
              <w:autoSpaceDN w:val="0"/>
              <w:adjustRightInd w:val="0"/>
              <w:snapToGrid w:val="0"/>
              <w:spacing w:line="239" w:lineRule="exact"/>
              <w:jc w:val="left"/>
              <w:textAlignment w:val="baseline"/>
              <w:rPr>
                <w:rFonts w:ascii="Arial" w:hAnsi="Arial" w:cs="Arial"/>
                <w:snapToGrid w:val="0"/>
                <w:color w:val="0000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jc w:val="center"/>
        </w:trPr>
        <w:tc>
          <w:tcPr>
            <w:tcW w:w="1074" w:type="dxa"/>
            <w:vMerge w:val="continue"/>
            <w:tcBorders>
              <w:top w:val="nil"/>
              <w:bottom w:val="nil"/>
            </w:tcBorders>
            <w:textDirection w:val="tbRlV"/>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69"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09" w:type="dxa"/>
            <w:vMerge w:val="restart"/>
          </w:tcPr>
          <w:p>
            <w:pPr>
              <w:widowControl/>
              <w:kinsoku w:val="0"/>
              <w:autoSpaceDE w:val="0"/>
              <w:autoSpaceDN w:val="0"/>
              <w:adjustRightInd w:val="0"/>
              <w:snapToGrid w:val="0"/>
              <w:spacing w:before="272" w:line="220" w:lineRule="auto"/>
              <w:ind w:left="92"/>
              <w:jc w:val="left"/>
              <w:textAlignment w:val="baseline"/>
              <w:rPr>
                <w:rFonts w:ascii="宋体" w:hAnsi="宋体" w:eastAsia="宋体" w:cs="宋体"/>
                <w:snapToGrid w:val="0"/>
                <w:color w:val="000000"/>
                <w:kern w:val="0"/>
                <w:sz w:val="20"/>
                <w:szCs w:val="20"/>
              </w:rPr>
            </w:pPr>
            <w:r>
              <w:rPr>
                <w:rFonts w:hint="eastAsia" w:ascii="宋体" w:hAnsi="宋体" w:cs="宋体"/>
                <w:snapToGrid w:val="0"/>
                <w:color w:val="000000"/>
                <w:spacing w:val="-2"/>
                <w:kern w:val="0"/>
                <w:sz w:val="20"/>
                <w:szCs w:val="20"/>
              </w:rPr>
              <w:t>质量指标</w:t>
            </w:r>
          </w:p>
        </w:tc>
        <w:tc>
          <w:tcPr>
            <w:tcW w:w="1526" w:type="dxa"/>
            <w:gridSpan w:val="2"/>
            <w:tcBorders>
              <w:bottom w:val="single" w:color="auto" w:sz="4" w:space="0"/>
            </w:tcBorders>
          </w:tcPr>
          <w:p>
            <w:pPr>
              <w:widowControl/>
              <w:kinsoku w:val="0"/>
              <w:autoSpaceDE w:val="0"/>
              <w:autoSpaceDN w:val="0"/>
              <w:adjustRightInd w:val="0"/>
              <w:snapToGrid w:val="0"/>
              <w:spacing w:line="240" w:lineRule="exact"/>
              <w:jc w:val="left"/>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1、完成闲置土地处置率</w:t>
            </w:r>
          </w:p>
        </w:tc>
        <w:tc>
          <w:tcPr>
            <w:tcW w:w="1051" w:type="dxa"/>
          </w:tcPr>
          <w:p>
            <w:pPr>
              <w:widowControl/>
              <w:kinsoku w:val="0"/>
              <w:autoSpaceDE w:val="0"/>
              <w:autoSpaceDN w:val="0"/>
              <w:adjustRightInd w:val="0"/>
              <w:snapToGrid w:val="0"/>
              <w:spacing w:line="24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50%</w:t>
            </w:r>
          </w:p>
        </w:tc>
        <w:tc>
          <w:tcPr>
            <w:tcW w:w="1259" w:type="dxa"/>
          </w:tcPr>
          <w:p>
            <w:pPr>
              <w:widowControl/>
              <w:kinsoku w:val="0"/>
              <w:autoSpaceDE w:val="0"/>
              <w:autoSpaceDN w:val="0"/>
              <w:adjustRightInd w:val="0"/>
              <w:snapToGrid w:val="0"/>
              <w:spacing w:line="24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50%</w:t>
            </w:r>
          </w:p>
        </w:tc>
        <w:tc>
          <w:tcPr>
            <w:tcW w:w="709" w:type="dxa"/>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 w:val="20"/>
                <w:szCs w:val="21"/>
              </w:rPr>
              <w:t>2.08</w:t>
            </w:r>
          </w:p>
        </w:tc>
        <w:tc>
          <w:tcPr>
            <w:tcW w:w="869" w:type="dxa"/>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 w:val="20"/>
                <w:szCs w:val="21"/>
              </w:rPr>
              <w:t>2.08</w:t>
            </w:r>
          </w:p>
        </w:tc>
        <w:tc>
          <w:tcPr>
            <w:tcW w:w="1433" w:type="dxa"/>
          </w:tcPr>
          <w:p>
            <w:pPr>
              <w:widowControl/>
              <w:kinsoku w:val="0"/>
              <w:autoSpaceDE w:val="0"/>
              <w:autoSpaceDN w:val="0"/>
              <w:adjustRightInd w:val="0"/>
              <w:snapToGrid w:val="0"/>
              <w:spacing w:line="240" w:lineRule="exact"/>
              <w:jc w:val="left"/>
              <w:textAlignment w:val="baseline"/>
              <w:rPr>
                <w:rFonts w:ascii="Arial" w:hAnsi="Arial" w:cs="Arial"/>
                <w:snapToGrid w:val="0"/>
                <w:color w:val="0000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jc w:val="center"/>
        </w:trPr>
        <w:tc>
          <w:tcPr>
            <w:tcW w:w="1074" w:type="dxa"/>
            <w:vMerge w:val="continue"/>
            <w:tcBorders>
              <w:top w:val="nil"/>
              <w:bottom w:val="nil"/>
            </w:tcBorders>
            <w:textDirection w:val="tbRlV"/>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69"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09" w:type="dxa"/>
            <w:vMerge w:val="continue"/>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526" w:type="dxa"/>
            <w:gridSpan w:val="2"/>
            <w:tcBorders>
              <w:top w:val="single" w:color="auto" w:sz="4" w:space="0"/>
            </w:tcBorders>
          </w:tcPr>
          <w:p>
            <w:pPr>
              <w:widowControl/>
              <w:kinsoku w:val="0"/>
              <w:autoSpaceDE w:val="0"/>
              <w:autoSpaceDN w:val="0"/>
              <w:adjustRightInd w:val="0"/>
              <w:snapToGrid w:val="0"/>
              <w:spacing w:line="240" w:lineRule="exact"/>
              <w:jc w:val="left"/>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2、违法用地整改率及信访问题化解率提高</w:t>
            </w:r>
          </w:p>
        </w:tc>
        <w:tc>
          <w:tcPr>
            <w:tcW w:w="1051" w:type="dxa"/>
          </w:tcPr>
          <w:p>
            <w:pPr>
              <w:widowControl/>
              <w:kinsoku w:val="0"/>
              <w:autoSpaceDE w:val="0"/>
              <w:autoSpaceDN w:val="0"/>
              <w:adjustRightInd w:val="0"/>
              <w:snapToGrid w:val="0"/>
              <w:spacing w:line="24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100%</w:t>
            </w:r>
          </w:p>
        </w:tc>
        <w:tc>
          <w:tcPr>
            <w:tcW w:w="1259" w:type="dxa"/>
          </w:tcPr>
          <w:p>
            <w:pPr>
              <w:widowControl/>
              <w:kinsoku w:val="0"/>
              <w:autoSpaceDE w:val="0"/>
              <w:autoSpaceDN w:val="0"/>
              <w:adjustRightInd w:val="0"/>
              <w:snapToGrid w:val="0"/>
              <w:spacing w:line="24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100%</w:t>
            </w:r>
          </w:p>
        </w:tc>
        <w:tc>
          <w:tcPr>
            <w:tcW w:w="709" w:type="dxa"/>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 w:val="20"/>
                <w:szCs w:val="21"/>
              </w:rPr>
              <w:t>2.08</w:t>
            </w:r>
          </w:p>
        </w:tc>
        <w:tc>
          <w:tcPr>
            <w:tcW w:w="869" w:type="dxa"/>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 w:val="20"/>
                <w:szCs w:val="21"/>
              </w:rPr>
              <w:t>2.08</w:t>
            </w:r>
          </w:p>
        </w:tc>
        <w:tc>
          <w:tcPr>
            <w:tcW w:w="1433" w:type="dxa"/>
          </w:tcPr>
          <w:p>
            <w:pPr>
              <w:widowControl/>
              <w:kinsoku w:val="0"/>
              <w:autoSpaceDE w:val="0"/>
              <w:autoSpaceDN w:val="0"/>
              <w:adjustRightInd w:val="0"/>
              <w:snapToGrid w:val="0"/>
              <w:spacing w:line="240" w:lineRule="exact"/>
              <w:jc w:val="left"/>
              <w:textAlignment w:val="baseline"/>
              <w:rPr>
                <w:rFonts w:ascii="Arial" w:hAnsi="Arial" w:cs="Arial"/>
                <w:snapToGrid w:val="0"/>
                <w:color w:val="0000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jc w:val="center"/>
        </w:trPr>
        <w:tc>
          <w:tcPr>
            <w:tcW w:w="1074" w:type="dxa"/>
            <w:vMerge w:val="continue"/>
            <w:tcBorders>
              <w:top w:val="nil"/>
              <w:bottom w:val="nil"/>
            </w:tcBorders>
            <w:textDirection w:val="tbRlV"/>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69"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09" w:type="dxa"/>
            <w:vMerge w:val="continue"/>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526" w:type="dxa"/>
            <w:gridSpan w:val="2"/>
          </w:tcPr>
          <w:p>
            <w:pPr>
              <w:widowControl/>
              <w:kinsoku w:val="0"/>
              <w:autoSpaceDE w:val="0"/>
              <w:autoSpaceDN w:val="0"/>
              <w:adjustRightInd w:val="0"/>
              <w:snapToGrid w:val="0"/>
              <w:spacing w:line="239" w:lineRule="exact"/>
              <w:jc w:val="left"/>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3、来信来访及时办结率</w:t>
            </w:r>
          </w:p>
        </w:tc>
        <w:tc>
          <w:tcPr>
            <w:tcW w:w="1051" w:type="dxa"/>
          </w:tcPr>
          <w:p>
            <w:pPr>
              <w:widowControl/>
              <w:kinsoku w:val="0"/>
              <w:autoSpaceDE w:val="0"/>
              <w:autoSpaceDN w:val="0"/>
              <w:adjustRightInd w:val="0"/>
              <w:snapToGrid w:val="0"/>
              <w:spacing w:line="239"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100%</w:t>
            </w:r>
          </w:p>
        </w:tc>
        <w:tc>
          <w:tcPr>
            <w:tcW w:w="1259" w:type="dxa"/>
          </w:tcPr>
          <w:p>
            <w:pPr>
              <w:widowControl/>
              <w:kinsoku w:val="0"/>
              <w:autoSpaceDE w:val="0"/>
              <w:autoSpaceDN w:val="0"/>
              <w:adjustRightInd w:val="0"/>
              <w:snapToGrid w:val="0"/>
              <w:spacing w:line="239"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100%</w:t>
            </w:r>
          </w:p>
        </w:tc>
        <w:tc>
          <w:tcPr>
            <w:tcW w:w="709" w:type="dxa"/>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 w:val="20"/>
                <w:szCs w:val="21"/>
              </w:rPr>
              <w:t>2.08</w:t>
            </w:r>
          </w:p>
        </w:tc>
        <w:tc>
          <w:tcPr>
            <w:tcW w:w="869" w:type="dxa"/>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 w:val="20"/>
                <w:szCs w:val="21"/>
              </w:rPr>
              <w:t>2.08</w:t>
            </w:r>
          </w:p>
        </w:tc>
        <w:tc>
          <w:tcPr>
            <w:tcW w:w="1433" w:type="dxa"/>
          </w:tcPr>
          <w:p>
            <w:pPr>
              <w:widowControl/>
              <w:kinsoku w:val="0"/>
              <w:autoSpaceDE w:val="0"/>
              <w:autoSpaceDN w:val="0"/>
              <w:adjustRightInd w:val="0"/>
              <w:snapToGrid w:val="0"/>
              <w:spacing w:line="239" w:lineRule="exact"/>
              <w:jc w:val="left"/>
              <w:textAlignment w:val="baseline"/>
              <w:rPr>
                <w:rFonts w:ascii="Arial" w:hAnsi="Arial" w:cs="Arial"/>
                <w:snapToGrid w:val="0"/>
                <w:color w:val="0000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jc w:val="center"/>
        </w:trPr>
        <w:tc>
          <w:tcPr>
            <w:tcW w:w="1074" w:type="dxa"/>
            <w:vMerge w:val="continue"/>
            <w:tcBorders>
              <w:top w:val="nil"/>
              <w:bottom w:val="nil"/>
            </w:tcBorders>
            <w:textDirection w:val="tbRlV"/>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69"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09" w:type="dxa"/>
            <w:vMerge w:val="continue"/>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526" w:type="dxa"/>
            <w:gridSpan w:val="2"/>
          </w:tcPr>
          <w:p>
            <w:pPr>
              <w:widowControl/>
              <w:kinsoku w:val="0"/>
              <w:autoSpaceDE w:val="0"/>
              <w:autoSpaceDN w:val="0"/>
              <w:adjustRightInd w:val="0"/>
              <w:snapToGrid w:val="0"/>
              <w:spacing w:line="239"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4、房地产办证信访突出问题化解率</w:t>
            </w:r>
          </w:p>
        </w:tc>
        <w:tc>
          <w:tcPr>
            <w:tcW w:w="1051" w:type="dxa"/>
          </w:tcPr>
          <w:p>
            <w:pPr>
              <w:widowControl/>
              <w:kinsoku w:val="0"/>
              <w:autoSpaceDE w:val="0"/>
              <w:autoSpaceDN w:val="0"/>
              <w:adjustRightInd w:val="0"/>
              <w:snapToGrid w:val="0"/>
              <w:spacing w:line="239" w:lineRule="exact"/>
              <w:jc w:val="center"/>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30%</w:t>
            </w:r>
          </w:p>
        </w:tc>
        <w:tc>
          <w:tcPr>
            <w:tcW w:w="1259" w:type="dxa"/>
          </w:tcPr>
          <w:p>
            <w:pPr>
              <w:widowControl/>
              <w:kinsoku w:val="0"/>
              <w:autoSpaceDE w:val="0"/>
              <w:autoSpaceDN w:val="0"/>
              <w:adjustRightInd w:val="0"/>
              <w:snapToGrid w:val="0"/>
              <w:spacing w:line="239" w:lineRule="exact"/>
              <w:jc w:val="center"/>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30%</w:t>
            </w:r>
          </w:p>
        </w:tc>
        <w:tc>
          <w:tcPr>
            <w:tcW w:w="709" w:type="dxa"/>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 w:val="20"/>
                <w:szCs w:val="21"/>
              </w:rPr>
              <w:t>2.08</w:t>
            </w:r>
          </w:p>
        </w:tc>
        <w:tc>
          <w:tcPr>
            <w:tcW w:w="869" w:type="dxa"/>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 w:val="20"/>
                <w:szCs w:val="21"/>
              </w:rPr>
              <w:t>2.08</w:t>
            </w:r>
          </w:p>
        </w:tc>
        <w:tc>
          <w:tcPr>
            <w:tcW w:w="1433" w:type="dxa"/>
          </w:tcPr>
          <w:p>
            <w:pPr>
              <w:widowControl/>
              <w:kinsoku w:val="0"/>
              <w:autoSpaceDE w:val="0"/>
              <w:autoSpaceDN w:val="0"/>
              <w:adjustRightInd w:val="0"/>
              <w:snapToGrid w:val="0"/>
              <w:spacing w:line="239" w:lineRule="exact"/>
              <w:jc w:val="left"/>
              <w:textAlignment w:val="baseline"/>
              <w:rPr>
                <w:rFonts w:ascii="Arial" w:hAnsi="Arial" w:cs="Arial"/>
                <w:snapToGrid w:val="0"/>
                <w:color w:val="0000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jc w:val="center"/>
        </w:trPr>
        <w:tc>
          <w:tcPr>
            <w:tcW w:w="1074" w:type="dxa"/>
            <w:vMerge w:val="continue"/>
            <w:tcBorders>
              <w:top w:val="nil"/>
              <w:bottom w:val="nil"/>
            </w:tcBorders>
            <w:textDirection w:val="tbRlV"/>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69"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09" w:type="dxa"/>
            <w:vMerge w:val="restart"/>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ascii="宋体" w:hAnsi="宋体" w:eastAsia="宋体" w:cs="宋体"/>
                <w:snapToGrid w:val="0"/>
                <w:color w:val="000000"/>
                <w:spacing w:val="-2"/>
                <w:kern w:val="0"/>
                <w:sz w:val="20"/>
                <w:szCs w:val="20"/>
              </w:rPr>
              <w:t>质量指标</w:t>
            </w:r>
          </w:p>
        </w:tc>
        <w:tc>
          <w:tcPr>
            <w:tcW w:w="1526" w:type="dxa"/>
            <w:gridSpan w:val="2"/>
          </w:tcPr>
          <w:p>
            <w:pPr>
              <w:widowControl/>
              <w:kinsoku w:val="0"/>
              <w:autoSpaceDE w:val="0"/>
              <w:autoSpaceDN w:val="0"/>
              <w:adjustRightInd w:val="0"/>
              <w:snapToGrid w:val="0"/>
              <w:spacing w:line="239"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5、完成生态保护及修复省、市指标任务</w:t>
            </w:r>
          </w:p>
        </w:tc>
        <w:tc>
          <w:tcPr>
            <w:tcW w:w="1051" w:type="dxa"/>
          </w:tcPr>
          <w:p>
            <w:pPr>
              <w:widowControl/>
              <w:kinsoku w:val="0"/>
              <w:autoSpaceDE w:val="0"/>
              <w:autoSpaceDN w:val="0"/>
              <w:adjustRightInd w:val="0"/>
              <w:snapToGrid w:val="0"/>
              <w:spacing w:line="239" w:lineRule="exact"/>
              <w:jc w:val="center"/>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100%</w:t>
            </w:r>
          </w:p>
        </w:tc>
        <w:tc>
          <w:tcPr>
            <w:tcW w:w="1259" w:type="dxa"/>
          </w:tcPr>
          <w:p>
            <w:pPr>
              <w:widowControl/>
              <w:kinsoku w:val="0"/>
              <w:autoSpaceDE w:val="0"/>
              <w:autoSpaceDN w:val="0"/>
              <w:adjustRightInd w:val="0"/>
              <w:snapToGrid w:val="0"/>
              <w:spacing w:line="239" w:lineRule="exact"/>
              <w:jc w:val="center"/>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100%</w:t>
            </w:r>
          </w:p>
        </w:tc>
        <w:tc>
          <w:tcPr>
            <w:tcW w:w="709" w:type="dxa"/>
          </w:tcPr>
          <w:p>
            <w:pPr>
              <w:widowControl/>
              <w:kinsoku w:val="0"/>
              <w:autoSpaceDE w:val="0"/>
              <w:autoSpaceDN w:val="0"/>
              <w:adjustRightInd w:val="0"/>
              <w:snapToGrid w:val="0"/>
              <w:spacing w:line="239"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2.08</w:t>
            </w:r>
          </w:p>
        </w:tc>
        <w:tc>
          <w:tcPr>
            <w:tcW w:w="869" w:type="dxa"/>
          </w:tcPr>
          <w:p>
            <w:pPr>
              <w:widowControl/>
              <w:kinsoku w:val="0"/>
              <w:autoSpaceDE w:val="0"/>
              <w:autoSpaceDN w:val="0"/>
              <w:adjustRightInd w:val="0"/>
              <w:snapToGrid w:val="0"/>
              <w:spacing w:line="239"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2.08</w:t>
            </w:r>
          </w:p>
        </w:tc>
        <w:tc>
          <w:tcPr>
            <w:tcW w:w="1433" w:type="dxa"/>
          </w:tcPr>
          <w:p>
            <w:pPr>
              <w:widowControl/>
              <w:kinsoku w:val="0"/>
              <w:autoSpaceDE w:val="0"/>
              <w:autoSpaceDN w:val="0"/>
              <w:adjustRightInd w:val="0"/>
              <w:snapToGrid w:val="0"/>
              <w:spacing w:line="239" w:lineRule="exact"/>
              <w:jc w:val="left"/>
              <w:textAlignment w:val="baseline"/>
              <w:rPr>
                <w:rFonts w:ascii="Arial" w:hAnsi="Arial" w:cs="Arial"/>
                <w:snapToGrid w:val="0"/>
                <w:color w:val="0000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jc w:val="center"/>
        </w:trPr>
        <w:tc>
          <w:tcPr>
            <w:tcW w:w="1074" w:type="dxa"/>
            <w:vMerge w:val="continue"/>
            <w:tcBorders>
              <w:top w:val="nil"/>
              <w:bottom w:val="nil"/>
            </w:tcBorders>
            <w:textDirection w:val="tbRlV"/>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69"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09" w:type="dxa"/>
            <w:vMerge w:val="continue"/>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526" w:type="dxa"/>
            <w:gridSpan w:val="2"/>
          </w:tcPr>
          <w:p>
            <w:pPr>
              <w:widowControl/>
              <w:kinsoku w:val="0"/>
              <w:autoSpaceDE w:val="0"/>
              <w:autoSpaceDN w:val="0"/>
              <w:adjustRightInd w:val="0"/>
              <w:snapToGrid w:val="0"/>
              <w:spacing w:line="239"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6、地质灾害隐患点“零死亡”</w:t>
            </w:r>
          </w:p>
        </w:tc>
        <w:tc>
          <w:tcPr>
            <w:tcW w:w="1051" w:type="dxa"/>
          </w:tcPr>
          <w:p>
            <w:pPr>
              <w:widowControl/>
              <w:kinsoku w:val="0"/>
              <w:autoSpaceDE w:val="0"/>
              <w:autoSpaceDN w:val="0"/>
              <w:adjustRightInd w:val="0"/>
              <w:snapToGrid w:val="0"/>
              <w:spacing w:line="239" w:lineRule="exact"/>
              <w:jc w:val="center"/>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100%</w:t>
            </w:r>
          </w:p>
        </w:tc>
        <w:tc>
          <w:tcPr>
            <w:tcW w:w="1259" w:type="dxa"/>
          </w:tcPr>
          <w:p>
            <w:pPr>
              <w:widowControl/>
              <w:kinsoku w:val="0"/>
              <w:autoSpaceDE w:val="0"/>
              <w:autoSpaceDN w:val="0"/>
              <w:adjustRightInd w:val="0"/>
              <w:snapToGrid w:val="0"/>
              <w:spacing w:line="239" w:lineRule="exact"/>
              <w:jc w:val="center"/>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100%</w:t>
            </w:r>
          </w:p>
        </w:tc>
        <w:tc>
          <w:tcPr>
            <w:tcW w:w="709" w:type="dxa"/>
          </w:tcPr>
          <w:p>
            <w:pPr>
              <w:widowControl/>
              <w:kinsoku w:val="0"/>
              <w:autoSpaceDE w:val="0"/>
              <w:autoSpaceDN w:val="0"/>
              <w:adjustRightInd w:val="0"/>
              <w:snapToGrid w:val="0"/>
              <w:spacing w:line="239"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2.08</w:t>
            </w:r>
          </w:p>
        </w:tc>
        <w:tc>
          <w:tcPr>
            <w:tcW w:w="869" w:type="dxa"/>
          </w:tcPr>
          <w:p>
            <w:pPr>
              <w:widowControl/>
              <w:kinsoku w:val="0"/>
              <w:autoSpaceDE w:val="0"/>
              <w:autoSpaceDN w:val="0"/>
              <w:adjustRightInd w:val="0"/>
              <w:snapToGrid w:val="0"/>
              <w:spacing w:line="239"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2.08</w:t>
            </w:r>
          </w:p>
        </w:tc>
        <w:tc>
          <w:tcPr>
            <w:tcW w:w="1433" w:type="dxa"/>
          </w:tcPr>
          <w:p>
            <w:pPr>
              <w:widowControl/>
              <w:kinsoku w:val="0"/>
              <w:autoSpaceDE w:val="0"/>
              <w:autoSpaceDN w:val="0"/>
              <w:adjustRightInd w:val="0"/>
              <w:snapToGrid w:val="0"/>
              <w:spacing w:line="239" w:lineRule="exact"/>
              <w:jc w:val="left"/>
              <w:textAlignment w:val="baseline"/>
              <w:rPr>
                <w:rFonts w:ascii="Arial" w:hAnsi="Arial" w:cs="Arial"/>
                <w:snapToGrid w:val="0"/>
                <w:color w:val="0000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jc w:val="center"/>
        </w:trPr>
        <w:tc>
          <w:tcPr>
            <w:tcW w:w="1074" w:type="dxa"/>
            <w:vMerge w:val="continue"/>
            <w:tcBorders>
              <w:top w:val="nil"/>
              <w:bottom w:val="nil"/>
            </w:tcBorders>
            <w:textDirection w:val="tbRlV"/>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69"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09" w:type="dxa"/>
            <w:vMerge w:val="restart"/>
          </w:tcPr>
          <w:p>
            <w:pPr>
              <w:widowControl/>
              <w:kinsoku w:val="0"/>
              <w:autoSpaceDE w:val="0"/>
              <w:autoSpaceDN w:val="0"/>
              <w:adjustRightInd w:val="0"/>
              <w:snapToGrid w:val="0"/>
              <w:spacing w:before="273" w:line="220" w:lineRule="auto"/>
              <w:ind w:left="92"/>
              <w:jc w:val="left"/>
              <w:textAlignment w:val="baseline"/>
              <w:rPr>
                <w:rFonts w:ascii="Arial" w:hAnsi="Arial" w:cs="Arial"/>
                <w:snapToGrid w:val="0"/>
                <w:color w:val="000000"/>
                <w:kern w:val="0"/>
                <w:sz w:val="20"/>
                <w:szCs w:val="21"/>
              </w:rPr>
            </w:pPr>
            <w:r>
              <w:rPr>
                <w:rFonts w:ascii="Arial" w:hAnsi="Arial" w:cs="Arial"/>
                <w:snapToGrid w:val="0"/>
                <w:color w:val="000000"/>
                <w:kern w:val="0"/>
                <w:sz w:val="20"/>
                <w:szCs w:val="21"/>
              </w:rPr>
              <w:t>时效指标</w:t>
            </w:r>
          </w:p>
        </w:tc>
        <w:tc>
          <w:tcPr>
            <w:tcW w:w="1526" w:type="dxa"/>
            <w:gridSpan w:val="2"/>
          </w:tcPr>
          <w:p>
            <w:pPr>
              <w:widowControl/>
              <w:kinsoku w:val="0"/>
              <w:autoSpaceDE w:val="0"/>
              <w:autoSpaceDN w:val="0"/>
              <w:adjustRightInd w:val="0"/>
              <w:snapToGrid w:val="0"/>
              <w:spacing w:line="240" w:lineRule="exact"/>
              <w:jc w:val="left"/>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1、优化营商环境，审批日期缩短</w:t>
            </w:r>
          </w:p>
        </w:tc>
        <w:tc>
          <w:tcPr>
            <w:tcW w:w="1051" w:type="dxa"/>
          </w:tcPr>
          <w:p>
            <w:pPr>
              <w:widowControl/>
              <w:kinsoku w:val="0"/>
              <w:autoSpaceDE w:val="0"/>
              <w:autoSpaceDN w:val="0"/>
              <w:adjustRightInd w:val="0"/>
              <w:snapToGrid w:val="0"/>
              <w:spacing w:line="24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10个工作日</w:t>
            </w:r>
          </w:p>
        </w:tc>
        <w:tc>
          <w:tcPr>
            <w:tcW w:w="1259" w:type="dxa"/>
          </w:tcPr>
          <w:p>
            <w:pPr>
              <w:widowControl/>
              <w:kinsoku w:val="0"/>
              <w:autoSpaceDE w:val="0"/>
              <w:autoSpaceDN w:val="0"/>
              <w:adjustRightInd w:val="0"/>
              <w:snapToGrid w:val="0"/>
              <w:spacing w:line="24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达标</w:t>
            </w:r>
          </w:p>
        </w:tc>
        <w:tc>
          <w:tcPr>
            <w:tcW w:w="709" w:type="dxa"/>
          </w:tcPr>
          <w:p>
            <w:pPr>
              <w:widowControl/>
              <w:kinsoku w:val="0"/>
              <w:autoSpaceDE w:val="0"/>
              <w:autoSpaceDN w:val="0"/>
              <w:adjustRightInd w:val="0"/>
              <w:snapToGrid w:val="0"/>
              <w:spacing w:line="23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3.125</w:t>
            </w:r>
          </w:p>
        </w:tc>
        <w:tc>
          <w:tcPr>
            <w:tcW w:w="869" w:type="dxa"/>
          </w:tcPr>
          <w:p>
            <w:pPr>
              <w:widowControl/>
              <w:kinsoku w:val="0"/>
              <w:autoSpaceDE w:val="0"/>
              <w:autoSpaceDN w:val="0"/>
              <w:adjustRightInd w:val="0"/>
              <w:snapToGrid w:val="0"/>
              <w:spacing w:line="23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3.125</w:t>
            </w:r>
          </w:p>
        </w:tc>
        <w:tc>
          <w:tcPr>
            <w:tcW w:w="1433" w:type="dxa"/>
          </w:tcPr>
          <w:p>
            <w:pPr>
              <w:widowControl/>
              <w:kinsoku w:val="0"/>
              <w:autoSpaceDE w:val="0"/>
              <w:autoSpaceDN w:val="0"/>
              <w:adjustRightInd w:val="0"/>
              <w:snapToGrid w:val="0"/>
              <w:spacing w:line="240" w:lineRule="exact"/>
              <w:jc w:val="left"/>
              <w:textAlignment w:val="baseline"/>
              <w:rPr>
                <w:rFonts w:ascii="Arial" w:hAnsi="Arial" w:cs="Arial"/>
                <w:snapToGrid w:val="0"/>
                <w:color w:val="0000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jc w:val="center"/>
        </w:trPr>
        <w:tc>
          <w:tcPr>
            <w:tcW w:w="1074" w:type="dxa"/>
            <w:vMerge w:val="continue"/>
            <w:tcBorders>
              <w:top w:val="nil"/>
              <w:bottom w:val="nil"/>
            </w:tcBorders>
            <w:textDirection w:val="tbRlV"/>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69"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09" w:type="dxa"/>
            <w:vMerge w:val="continue"/>
          </w:tcPr>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tc>
        <w:tc>
          <w:tcPr>
            <w:tcW w:w="1526" w:type="dxa"/>
            <w:gridSpan w:val="2"/>
          </w:tcPr>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2、不动产登记出证时间</w:t>
            </w:r>
          </w:p>
        </w:tc>
        <w:tc>
          <w:tcPr>
            <w:tcW w:w="1051" w:type="dxa"/>
          </w:tcPr>
          <w:p>
            <w:pPr>
              <w:widowControl/>
              <w:kinsoku w:val="0"/>
              <w:autoSpaceDE w:val="0"/>
              <w:autoSpaceDN w:val="0"/>
              <w:adjustRightInd w:val="0"/>
              <w:snapToGrid w:val="0"/>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60分钟</w:t>
            </w:r>
          </w:p>
        </w:tc>
        <w:tc>
          <w:tcPr>
            <w:tcW w:w="1259" w:type="dxa"/>
          </w:tcPr>
          <w:p>
            <w:pPr>
              <w:widowControl/>
              <w:kinsoku w:val="0"/>
              <w:autoSpaceDE w:val="0"/>
              <w:autoSpaceDN w:val="0"/>
              <w:adjustRightInd w:val="0"/>
              <w:snapToGrid w:val="0"/>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达标</w:t>
            </w:r>
          </w:p>
        </w:tc>
        <w:tc>
          <w:tcPr>
            <w:tcW w:w="709" w:type="dxa"/>
          </w:tcPr>
          <w:p>
            <w:pPr>
              <w:widowControl/>
              <w:kinsoku w:val="0"/>
              <w:autoSpaceDE w:val="0"/>
              <w:autoSpaceDN w:val="0"/>
              <w:adjustRightInd w:val="0"/>
              <w:snapToGrid w:val="0"/>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3.125</w:t>
            </w:r>
          </w:p>
        </w:tc>
        <w:tc>
          <w:tcPr>
            <w:tcW w:w="869" w:type="dxa"/>
          </w:tcPr>
          <w:p>
            <w:pPr>
              <w:widowControl/>
              <w:kinsoku w:val="0"/>
              <w:autoSpaceDE w:val="0"/>
              <w:autoSpaceDN w:val="0"/>
              <w:adjustRightInd w:val="0"/>
              <w:snapToGrid w:val="0"/>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3.125</w:t>
            </w:r>
          </w:p>
        </w:tc>
        <w:tc>
          <w:tcPr>
            <w:tcW w:w="1433" w:type="dxa"/>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jc w:val="center"/>
        </w:trPr>
        <w:tc>
          <w:tcPr>
            <w:tcW w:w="1074" w:type="dxa"/>
            <w:vMerge w:val="continue"/>
            <w:tcBorders>
              <w:top w:val="nil"/>
              <w:bottom w:val="nil"/>
            </w:tcBorders>
            <w:textDirection w:val="tbRlV"/>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69"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09" w:type="dxa"/>
            <w:vMerge w:val="continue"/>
          </w:tcPr>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tc>
        <w:tc>
          <w:tcPr>
            <w:tcW w:w="1526" w:type="dxa"/>
            <w:gridSpan w:val="2"/>
          </w:tcPr>
          <w:p>
            <w:pPr>
              <w:widowControl/>
              <w:kinsoku w:val="0"/>
              <w:autoSpaceDE w:val="0"/>
              <w:autoSpaceDN w:val="0"/>
              <w:adjustRightInd w:val="0"/>
              <w:snapToGrid w:val="0"/>
              <w:spacing w:line="230" w:lineRule="exact"/>
              <w:jc w:val="left"/>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3、所有来信来访及时答复</w:t>
            </w:r>
          </w:p>
        </w:tc>
        <w:tc>
          <w:tcPr>
            <w:tcW w:w="1051" w:type="dxa"/>
          </w:tcPr>
          <w:p>
            <w:pPr>
              <w:widowControl/>
              <w:kinsoku w:val="0"/>
              <w:autoSpaceDE w:val="0"/>
              <w:autoSpaceDN w:val="0"/>
              <w:adjustRightInd w:val="0"/>
              <w:snapToGrid w:val="0"/>
              <w:spacing w:line="23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及时</w:t>
            </w:r>
          </w:p>
        </w:tc>
        <w:tc>
          <w:tcPr>
            <w:tcW w:w="1259" w:type="dxa"/>
          </w:tcPr>
          <w:p>
            <w:pPr>
              <w:widowControl/>
              <w:kinsoku w:val="0"/>
              <w:autoSpaceDE w:val="0"/>
              <w:autoSpaceDN w:val="0"/>
              <w:adjustRightInd w:val="0"/>
              <w:snapToGrid w:val="0"/>
              <w:spacing w:line="23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及时</w:t>
            </w:r>
          </w:p>
        </w:tc>
        <w:tc>
          <w:tcPr>
            <w:tcW w:w="709" w:type="dxa"/>
          </w:tcPr>
          <w:p>
            <w:pPr>
              <w:widowControl/>
              <w:kinsoku w:val="0"/>
              <w:autoSpaceDE w:val="0"/>
              <w:autoSpaceDN w:val="0"/>
              <w:adjustRightInd w:val="0"/>
              <w:snapToGrid w:val="0"/>
              <w:spacing w:line="239"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3.125</w:t>
            </w:r>
          </w:p>
        </w:tc>
        <w:tc>
          <w:tcPr>
            <w:tcW w:w="869" w:type="dxa"/>
          </w:tcPr>
          <w:p>
            <w:pPr>
              <w:widowControl/>
              <w:kinsoku w:val="0"/>
              <w:autoSpaceDE w:val="0"/>
              <w:autoSpaceDN w:val="0"/>
              <w:adjustRightInd w:val="0"/>
              <w:snapToGrid w:val="0"/>
              <w:spacing w:line="239"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3.125</w:t>
            </w:r>
          </w:p>
        </w:tc>
        <w:tc>
          <w:tcPr>
            <w:tcW w:w="1433" w:type="dxa"/>
          </w:tcPr>
          <w:p>
            <w:pPr>
              <w:widowControl/>
              <w:kinsoku w:val="0"/>
              <w:autoSpaceDE w:val="0"/>
              <w:autoSpaceDN w:val="0"/>
              <w:adjustRightInd w:val="0"/>
              <w:snapToGrid w:val="0"/>
              <w:spacing w:line="230" w:lineRule="exact"/>
              <w:jc w:val="left"/>
              <w:textAlignment w:val="baseline"/>
              <w:rPr>
                <w:rFonts w:ascii="Arial" w:hAnsi="Arial" w:cs="Arial"/>
                <w:snapToGrid w:val="0"/>
                <w:color w:val="0000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jc w:val="center"/>
        </w:trPr>
        <w:tc>
          <w:tcPr>
            <w:tcW w:w="1074" w:type="dxa"/>
            <w:vMerge w:val="continue"/>
            <w:tcBorders>
              <w:top w:val="nil"/>
              <w:bottom w:val="nil"/>
            </w:tcBorders>
            <w:textDirection w:val="tbRlV"/>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69"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09" w:type="dxa"/>
            <w:vMerge w:val="continue"/>
          </w:tcPr>
          <w:p>
            <w:pPr>
              <w:widowControl/>
              <w:kinsoku w:val="0"/>
              <w:autoSpaceDE w:val="0"/>
              <w:autoSpaceDN w:val="0"/>
              <w:adjustRightInd w:val="0"/>
              <w:snapToGrid w:val="0"/>
              <w:jc w:val="left"/>
              <w:textAlignment w:val="baseline"/>
              <w:rPr>
                <w:rFonts w:ascii="Arial" w:hAnsi="Arial" w:cs="Arial"/>
                <w:snapToGrid w:val="0"/>
                <w:color w:val="000000"/>
                <w:kern w:val="0"/>
                <w:sz w:val="20"/>
                <w:szCs w:val="21"/>
              </w:rPr>
            </w:pPr>
          </w:p>
        </w:tc>
        <w:tc>
          <w:tcPr>
            <w:tcW w:w="1526" w:type="dxa"/>
            <w:gridSpan w:val="2"/>
          </w:tcPr>
          <w:p>
            <w:pPr>
              <w:widowControl/>
              <w:kinsoku w:val="0"/>
              <w:autoSpaceDE w:val="0"/>
              <w:autoSpaceDN w:val="0"/>
              <w:adjustRightInd w:val="0"/>
              <w:snapToGrid w:val="0"/>
              <w:spacing w:line="23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4、在规定时限内腾地、供地和完成整改、销号等任务</w:t>
            </w:r>
          </w:p>
        </w:tc>
        <w:tc>
          <w:tcPr>
            <w:tcW w:w="1051" w:type="dxa"/>
          </w:tcPr>
          <w:p>
            <w:pPr>
              <w:widowControl/>
              <w:kinsoku w:val="0"/>
              <w:autoSpaceDE w:val="0"/>
              <w:autoSpaceDN w:val="0"/>
              <w:adjustRightInd w:val="0"/>
              <w:snapToGrid w:val="0"/>
              <w:spacing w:line="230" w:lineRule="exact"/>
              <w:jc w:val="center"/>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及时</w:t>
            </w:r>
          </w:p>
        </w:tc>
        <w:tc>
          <w:tcPr>
            <w:tcW w:w="1259" w:type="dxa"/>
          </w:tcPr>
          <w:p>
            <w:pPr>
              <w:widowControl/>
              <w:kinsoku w:val="0"/>
              <w:autoSpaceDE w:val="0"/>
              <w:autoSpaceDN w:val="0"/>
              <w:adjustRightInd w:val="0"/>
              <w:snapToGrid w:val="0"/>
              <w:spacing w:line="230" w:lineRule="exact"/>
              <w:jc w:val="center"/>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及时</w:t>
            </w:r>
          </w:p>
        </w:tc>
        <w:tc>
          <w:tcPr>
            <w:tcW w:w="709" w:type="dxa"/>
          </w:tcPr>
          <w:p>
            <w:pPr>
              <w:widowControl/>
              <w:kinsoku w:val="0"/>
              <w:autoSpaceDE w:val="0"/>
              <w:autoSpaceDN w:val="0"/>
              <w:adjustRightInd w:val="0"/>
              <w:snapToGrid w:val="0"/>
              <w:spacing w:line="239"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3.125</w:t>
            </w:r>
          </w:p>
        </w:tc>
        <w:tc>
          <w:tcPr>
            <w:tcW w:w="869" w:type="dxa"/>
          </w:tcPr>
          <w:p>
            <w:pPr>
              <w:widowControl/>
              <w:kinsoku w:val="0"/>
              <w:autoSpaceDE w:val="0"/>
              <w:autoSpaceDN w:val="0"/>
              <w:adjustRightInd w:val="0"/>
              <w:snapToGrid w:val="0"/>
              <w:spacing w:line="239"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3.125</w:t>
            </w:r>
          </w:p>
        </w:tc>
        <w:tc>
          <w:tcPr>
            <w:tcW w:w="1433" w:type="dxa"/>
          </w:tcPr>
          <w:p>
            <w:pPr>
              <w:widowControl/>
              <w:kinsoku w:val="0"/>
              <w:autoSpaceDE w:val="0"/>
              <w:autoSpaceDN w:val="0"/>
              <w:adjustRightInd w:val="0"/>
              <w:snapToGrid w:val="0"/>
              <w:spacing w:line="230" w:lineRule="exact"/>
              <w:jc w:val="left"/>
              <w:textAlignment w:val="baseline"/>
              <w:rPr>
                <w:rFonts w:ascii="Arial" w:hAnsi="Arial" w:cs="Arial"/>
                <w:snapToGrid w:val="0"/>
                <w:color w:val="0000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jc w:val="center"/>
        </w:trPr>
        <w:tc>
          <w:tcPr>
            <w:tcW w:w="1074" w:type="dxa"/>
            <w:vMerge w:val="continue"/>
            <w:tcBorders>
              <w:top w:val="nil"/>
              <w:bottom w:val="nil"/>
            </w:tcBorders>
            <w:textDirection w:val="tbRlV"/>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69"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09" w:type="dxa"/>
            <w:vMerge w:val="restart"/>
            <w:tcBorders>
              <w:bottom w:val="nil"/>
            </w:tcBorders>
          </w:tcPr>
          <w:p>
            <w:pPr>
              <w:widowControl/>
              <w:kinsoku w:val="0"/>
              <w:autoSpaceDE w:val="0"/>
              <w:autoSpaceDN w:val="0"/>
              <w:adjustRightInd w:val="0"/>
              <w:snapToGrid w:val="0"/>
              <w:spacing w:before="281" w:line="219" w:lineRule="auto"/>
              <w:ind w:left="92"/>
              <w:jc w:val="left"/>
              <w:textAlignment w:val="baseline"/>
              <w:rPr>
                <w:rFonts w:ascii="宋体" w:hAnsi="宋体" w:eastAsia="宋体" w:cs="宋体"/>
                <w:snapToGrid w:val="0"/>
                <w:color w:val="000000"/>
                <w:kern w:val="0"/>
                <w:sz w:val="20"/>
                <w:szCs w:val="20"/>
              </w:rPr>
            </w:pPr>
            <w:r>
              <w:rPr>
                <w:rFonts w:hint="eastAsia" w:ascii="宋体" w:hAnsi="宋体" w:cs="宋体"/>
                <w:snapToGrid w:val="0"/>
                <w:color w:val="000000"/>
                <w:spacing w:val="-2"/>
                <w:kern w:val="0"/>
                <w:sz w:val="20"/>
                <w:szCs w:val="20"/>
              </w:rPr>
              <w:t>成本指标</w:t>
            </w:r>
          </w:p>
        </w:tc>
        <w:tc>
          <w:tcPr>
            <w:tcW w:w="1526" w:type="dxa"/>
            <w:gridSpan w:val="2"/>
          </w:tcPr>
          <w:p>
            <w:pPr>
              <w:widowControl/>
              <w:kinsoku w:val="0"/>
              <w:autoSpaceDE w:val="0"/>
              <w:autoSpaceDN w:val="0"/>
              <w:adjustRightInd w:val="0"/>
              <w:snapToGrid w:val="0"/>
              <w:spacing w:line="240" w:lineRule="exact"/>
              <w:jc w:val="left"/>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1、全度预算资金控制额</w:t>
            </w:r>
          </w:p>
        </w:tc>
        <w:tc>
          <w:tcPr>
            <w:tcW w:w="1051" w:type="dxa"/>
          </w:tcPr>
          <w:p>
            <w:pPr>
              <w:widowControl/>
              <w:kinsoku w:val="0"/>
              <w:autoSpaceDE w:val="0"/>
              <w:autoSpaceDN w:val="0"/>
              <w:adjustRightInd w:val="0"/>
              <w:snapToGrid w:val="0"/>
              <w:spacing w:line="320" w:lineRule="exact"/>
              <w:jc w:val="left"/>
              <w:textAlignment w:val="center"/>
              <w:rPr>
                <w:rFonts w:ascii="Arial" w:hAnsi="Arial" w:cs="Arial"/>
                <w:snapToGrid w:val="0"/>
                <w:color w:val="000000"/>
                <w:kern w:val="0"/>
                <w:sz w:val="20"/>
                <w:szCs w:val="21"/>
              </w:rPr>
            </w:pPr>
            <w:r>
              <w:rPr>
                <w:rFonts w:hint="eastAsia" w:ascii="Arial" w:hAnsi="Arial" w:cs="Arial"/>
                <w:snapToGrid w:val="0"/>
                <w:color w:val="000000"/>
                <w:kern w:val="0"/>
                <w:sz w:val="20"/>
                <w:szCs w:val="21"/>
              </w:rPr>
              <w:t>基本支出控制在预算内</w:t>
            </w:r>
          </w:p>
          <w:p>
            <w:pPr>
              <w:widowControl/>
              <w:kinsoku w:val="0"/>
              <w:autoSpaceDE w:val="0"/>
              <w:autoSpaceDN w:val="0"/>
              <w:adjustRightInd w:val="0"/>
              <w:snapToGrid w:val="0"/>
              <w:spacing w:line="240" w:lineRule="exact"/>
              <w:jc w:val="left"/>
              <w:textAlignment w:val="baseline"/>
              <w:rPr>
                <w:rFonts w:ascii="Arial" w:hAnsi="Arial" w:cs="Arial"/>
                <w:snapToGrid w:val="0"/>
                <w:color w:val="000000"/>
                <w:kern w:val="0"/>
                <w:sz w:val="20"/>
                <w:szCs w:val="21"/>
              </w:rPr>
            </w:pPr>
          </w:p>
        </w:tc>
        <w:tc>
          <w:tcPr>
            <w:tcW w:w="1259" w:type="dxa"/>
          </w:tcPr>
          <w:p>
            <w:pPr>
              <w:widowControl/>
              <w:kinsoku w:val="0"/>
              <w:autoSpaceDE w:val="0"/>
              <w:autoSpaceDN w:val="0"/>
              <w:adjustRightInd w:val="0"/>
              <w:snapToGrid w:val="0"/>
              <w:spacing w:line="24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达标</w:t>
            </w:r>
          </w:p>
        </w:tc>
        <w:tc>
          <w:tcPr>
            <w:tcW w:w="709" w:type="dxa"/>
          </w:tcPr>
          <w:p>
            <w:pPr>
              <w:widowControl/>
              <w:kinsoku w:val="0"/>
              <w:autoSpaceDE w:val="0"/>
              <w:autoSpaceDN w:val="0"/>
              <w:adjustRightInd w:val="0"/>
              <w:snapToGrid w:val="0"/>
              <w:spacing w:line="24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6.25</w:t>
            </w:r>
          </w:p>
        </w:tc>
        <w:tc>
          <w:tcPr>
            <w:tcW w:w="869" w:type="dxa"/>
          </w:tcPr>
          <w:p>
            <w:pPr>
              <w:widowControl/>
              <w:kinsoku w:val="0"/>
              <w:autoSpaceDE w:val="0"/>
              <w:autoSpaceDN w:val="0"/>
              <w:adjustRightInd w:val="0"/>
              <w:snapToGrid w:val="0"/>
              <w:spacing w:line="24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6.25</w:t>
            </w:r>
          </w:p>
        </w:tc>
        <w:tc>
          <w:tcPr>
            <w:tcW w:w="1433" w:type="dxa"/>
          </w:tcPr>
          <w:p>
            <w:pPr>
              <w:widowControl/>
              <w:kinsoku w:val="0"/>
              <w:autoSpaceDE w:val="0"/>
              <w:autoSpaceDN w:val="0"/>
              <w:adjustRightInd w:val="0"/>
              <w:snapToGrid w:val="0"/>
              <w:spacing w:line="240" w:lineRule="exact"/>
              <w:jc w:val="left"/>
              <w:textAlignment w:val="baseline"/>
              <w:rPr>
                <w:rFonts w:ascii="Arial" w:hAnsi="Arial" w:cs="Arial"/>
                <w:snapToGrid w:val="0"/>
                <w:color w:val="0000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jc w:val="center"/>
        </w:trPr>
        <w:tc>
          <w:tcPr>
            <w:tcW w:w="1074" w:type="dxa"/>
            <w:vMerge w:val="continue"/>
            <w:tcBorders>
              <w:top w:val="nil"/>
              <w:bottom w:val="nil"/>
            </w:tcBorders>
            <w:textDirection w:val="tbRlV"/>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69"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09"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526" w:type="dxa"/>
            <w:gridSpan w:val="2"/>
          </w:tcPr>
          <w:p>
            <w:pPr>
              <w:widowControl/>
              <w:kinsoku w:val="0"/>
              <w:autoSpaceDE w:val="0"/>
              <w:autoSpaceDN w:val="0"/>
              <w:adjustRightInd w:val="0"/>
              <w:snapToGrid w:val="0"/>
              <w:spacing w:line="240" w:lineRule="exact"/>
              <w:jc w:val="left"/>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2、项目资金控制额</w:t>
            </w:r>
          </w:p>
        </w:tc>
        <w:tc>
          <w:tcPr>
            <w:tcW w:w="1051" w:type="dxa"/>
          </w:tcPr>
          <w:p>
            <w:pPr>
              <w:widowControl/>
              <w:kinsoku w:val="0"/>
              <w:autoSpaceDE w:val="0"/>
              <w:autoSpaceDN w:val="0"/>
              <w:adjustRightInd w:val="0"/>
              <w:snapToGrid w:val="0"/>
              <w:spacing w:line="240" w:lineRule="exact"/>
              <w:jc w:val="left"/>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项目资金支出控制在合同价款内</w:t>
            </w:r>
          </w:p>
        </w:tc>
        <w:tc>
          <w:tcPr>
            <w:tcW w:w="1259" w:type="dxa"/>
          </w:tcPr>
          <w:p>
            <w:pPr>
              <w:widowControl/>
              <w:kinsoku w:val="0"/>
              <w:autoSpaceDE w:val="0"/>
              <w:autoSpaceDN w:val="0"/>
              <w:adjustRightInd w:val="0"/>
              <w:snapToGrid w:val="0"/>
              <w:spacing w:line="24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达标</w:t>
            </w:r>
          </w:p>
        </w:tc>
        <w:tc>
          <w:tcPr>
            <w:tcW w:w="709" w:type="dxa"/>
          </w:tcPr>
          <w:p>
            <w:pPr>
              <w:widowControl/>
              <w:kinsoku w:val="0"/>
              <w:autoSpaceDE w:val="0"/>
              <w:autoSpaceDN w:val="0"/>
              <w:adjustRightInd w:val="0"/>
              <w:snapToGrid w:val="0"/>
              <w:spacing w:line="24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6.25</w:t>
            </w:r>
          </w:p>
        </w:tc>
        <w:tc>
          <w:tcPr>
            <w:tcW w:w="869" w:type="dxa"/>
          </w:tcPr>
          <w:p>
            <w:pPr>
              <w:widowControl/>
              <w:kinsoku w:val="0"/>
              <w:autoSpaceDE w:val="0"/>
              <w:autoSpaceDN w:val="0"/>
              <w:adjustRightInd w:val="0"/>
              <w:snapToGrid w:val="0"/>
              <w:spacing w:line="24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6.25</w:t>
            </w:r>
          </w:p>
        </w:tc>
        <w:tc>
          <w:tcPr>
            <w:tcW w:w="1433" w:type="dxa"/>
          </w:tcPr>
          <w:p>
            <w:pPr>
              <w:widowControl/>
              <w:kinsoku w:val="0"/>
              <w:autoSpaceDE w:val="0"/>
              <w:autoSpaceDN w:val="0"/>
              <w:adjustRightInd w:val="0"/>
              <w:snapToGrid w:val="0"/>
              <w:spacing w:line="240" w:lineRule="exact"/>
              <w:jc w:val="left"/>
              <w:textAlignment w:val="baseline"/>
              <w:rPr>
                <w:rFonts w:ascii="Arial" w:hAnsi="Arial" w:cs="Arial"/>
                <w:snapToGrid w:val="0"/>
                <w:color w:val="0000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jc w:val="center"/>
        </w:trPr>
        <w:tc>
          <w:tcPr>
            <w:tcW w:w="1074" w:type="dxa"/>
            <w:vMerge w:val="continue"/>
            <w:tcBorders>
              <w:top w:val="nil"/>
              <w:bottom w:val="nil"/>
            </w:tcBorders>
            <w:textDirection w:val="tbRlV"/>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69" w:type="dxa"/>
            <w:vMerge w:val="restart"/>
            <w:tcBorders>
              <w:bottom w:val="nil"/>
            </w:tcBorders>
          </w:tcPr>
          <w:p>
            <w:pPr>
              <w:widowControl/>
              <w:kinsoku w:val="0"/>
              <w:autoSpaceDE w:val="0"/>
              <w:autoSpaceDN w:val="0"/>
              <w:adjustRightInd w:val="0"/>
              <w:snapToGrid w:val="0"/>
              <w:spacing w:line="250" w:lineRule="auto"/>
              <w:jc w:val="left"/>
              <w:textAlignment w:val="baseline"/>
              <w:rPr>
                <w:rFonts w:ascii="Arial" w:hAnsi="Arial" w:cs="Arial"/>
                <w:snapToGrid w:val="0"/>
                <w:color w:val="000000"/>
                <w:kern w:val="0"/>
                <w:szCs w:val="21"/>
              </w:rPr>
            </w:pPr>
          </w:p>
          <w:p>
            <w:pPr>
              <w:widowControl/>
              <w:kinsoku w:val="0"/>
              <w:autoSpaceDE w:val="0"/>
              <w:autoSpaceDN w:val="0"/>
              <w:adjustRightInd w:val="0"/>
              <w:snapToGrid w:val="0"/>
              <w:spacing w:line="250" w:lineRule="auto"/>
              <w:jc w:val="left"/>
              <w:textAlignment w:val="baseline"/>
              <w:rPr>
                <w:rFonts w:ascii="Arial" w:hAnsi="Arial" w:cs="Arial"/>
                <w:snapToGrid w:val="0"/>
                <w:color w:val="000000"/>
                <w:kern w:val="0"/>
                <w:szCs w:val="21"/>
              </w:rPr>
            </w:pPr>
          </w:p>
          <w:p>
            <w:pPr>
              <w:widowControl/>
              <w:kinsoku w:val="0"/>
              <w:autoSpaceDE w:val="0"/>
              <w:autoSpaceDN w:val="0"/>
              <w:adjustRightInd w:val="0"/>
              <w:snapToGrid w:val="0"/>
              <w:spacing w:line="251" w:lineRule="auto"/>
              <w:jc w:val="left"/>
              <w:textAlignment w:val="baseline"/>
              <w:rPr>
                <w:rFonts w:ascii="Arial" w:hAnsi="Arial" w:cs="Arial"/>
                <w:snapToGrid w:val="0"/>
                <w:color w:val="000000"/>
                <w:kern w:val="0"/>
                <w:szCs w:val="21"/>
              </w:rPr>
            </w:pPr>
          </w:p>
          <w:p>
            <w:pPr>
              <w:widowControl/>
              <w:kinsoku w:val="0"/>
              <w:autoSpaceDE w:val="0"/>
              <w:autoSpaceDN w:val="0"/>
              <w:adjustRightInd w:val="0"/>
              <w:snapToGrid w:val="0"/>
              <w:spacing w:line="251" w:lineRule="auto"/>
              <w:jc w:val="left"/>
              <w:textAlignment w:val="baseline"/>
              <w:rPr>
                <w:rFonts w:ascii="Arial" w:hAnsi="Arial" w:cs="Arial"/>
                <w:snapToGrid w:val="0"/>
                <w:color w:val="000000"/>
                <w:kern w:val="0"/>
                <w:szCs w:val="21"/>
              </w:rPr>
            </w:pPr>
          </w:p>
          <w:p>
            <w:pPr>
              <w:widowControl/>
              <w:kinsoku w:val="0"/>
              <w:autoSpaceDE w:val="0"/>
              <w:autoSpaceDN w:val="0"/>
              <w:adjustRightInd w:val="0"/>
              <w:snapToGrid w:val="0"/>
              <w:spacing w:before="65" w:line="480" w:lineRule="exact"/>
              <w:ind w:left="120"/>
              <w:jc w:val="left"/>
              <w:textAlignment w:val="baseline"/>
              <w:rPr>
                <w:rFonts w:ascii="宋体" w:hAnsi="宋体" w:eastAsia="宋体" w:cs="宋体"/>
                <w:snapToGrid w:val="0"/>
                <w:color w:val="000000"/>
                <w:kern w:val="0"/>
                <w:sz w:val="20"/>
                <w:szCs w:val="20"/>
              </w:rPr>
            </w:pPr>
            <w:r>
              <w:rPr>
                <w:rFonts w:hint="eastAsia" w:ascii="宋体" w:hAnsi="宋体" w:cs="宋体"/>
                <w:snapToGrid w:val="0"/>
                <w:color w:val="000000"/>
                <w:spacing w:val="1"/>
                <w:kern w:val="0"/>
                <w:position w:val="21"/>
                <w:sz w:val="20"/>
                <w:szCs w:val="20"/>
              </w:rPr>
              <w:t>效益指标</w:t>
            </w:r>
          </w:p>
          <w:p>
            <w:pPr>
              <w:widowControl/>
              <w:kinsoku w:val="0"/>
              <w:autoSpaceDE w:val="0"/>
              <w:autoSpaceDN w:val="0"/>
              <w:adjustRightInd w:val="0"/>
              <w:snapToGrid w:val="0"/>
              <w:spacing w:line="220" w:lineRule="auto"/>
              <w:ind w:left="22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8"/>
                <w:kern w:val="0"/>
                <w:sz w:val="20"/>
                <w:szCs w:val="20"/>
              </w:rPr>
              <w:t>(30</w:t>
            </w:r>
            <w:r>
              <w:rPr>
                <w:rFonts w:hint="eastAsia" w:ascii="宋体" w:hAnsi="宋体" w:cs="宋体"/>
                <w:snapToGrid w:val="0"/>
                <w:color w:val="000000"/>
                <w:spacing w:val="8"/>
                <w:kern w:val="0"/>
                <w:sz w:val="20"/>
                <w:szCs w:val="20"/>
              </w:rPr>
              <w:t>分</w:t>
            </w:r>
            <w:r>
              <w:rPr>
                <w:rFonts w:ascii="宋体" w:hAnsi="宋体" w:eastAsia="宋体" w:cs="宋体"/>
                <w:snapToGrid w:val="0"/>
                <w:color w:val="000000"/>
                <w:spacing w:val="8"/>
                <w:kern w:val="0"/>
                <w:sz w:val="20"/>
                <w:szCs w:val="20"/>
              </w:rPr>
              <w:t>)</w:t>
            </w:r>
          </w:p>
        </w:tc>
        <w:tc>
          <w:tcPr>
            <w:tcW w:w="1009" w:type="dxa"/>
            <w:vMerge w:val="restart"/>
            <w:tcBorders>
              <w:bottom w:val="nil"/>
            </w:tcBorders>
          </w:tcPr>
          <w:p>
            <w:pPr>
              <w:widowControl/>
              <w:kinsoku w:val="0"/>
              <w:autoSpaceDE w:val="0"/>
              <w:autoSpaceDN w:val="0"/>
              <w:adjustRightInd w:val="0"/>
              <w:snapToGrid w:val="0"/>
              <w:spacing w:before="154" w:line="221" w:lineRule="auto"/>
              <w:ind w:left="191"/>
              <w:jc w:val="left"/>
              <w:textAlignment w:val="baseline"/>
              <w:rPr>
                <w:rFonts w:ascii="宋体" w:hAnsi="宋体" w:eastAsia="宋体" w:cs="宋体"/>
                <w:snapToGrid w:val="0"/>
                <w:color w:val="000000"/>
                <w:kern w:val="0"/>
                <w:sz w:val="20"/>
                <w:szCs w:val="20"/>
              </w:rPr>
            </w:pPr>
            <w:r>
              <w:rPr>
                <w:rFonts w:hint="eastAsia" w:ascii="宋体" w:hAnsi="宋体" w:cs="宋体"/>
                <w:snapToGrid w:val="0"/>
                <w:color w:val="000000"/>
                <w:spacing w:val="-3"/>
                <w:kern w:val="0"/>
                <w:sz w:val="20"/>
                <w:szCs w:val="20"/>
              </w:rPr>
              <w:t>经济效</w:t>
            </w:r>
          </w:p>
          <w:p>
            <w:pPr>
              <w:widowControl/>
              <w:kinsoku w:val="0"/>
              <w:autoSpaceDE w:val="0"/>
              <w:autoSpaceDN w:val="0"/>
              <w:adjustRightInd w:val="0"/>
              <w:snapToGrid w:val="0"/>
              <w:spacing w:line="220" w:lineRule="auto"/>
              <w:ind w:left="191"/>
              <w:jc w:val="left"/>
              <w:textAlignment w:val="baseline"/>
              <w:rPr>
                <w:rFonts w:ascii="宋体" w:hAnsi="宋体" w:eastAsia="宋体" w:cs="宋体"/>
                <w:snapToGrid w:val="0"/>
                <w:color w:val="000000"/>
                <w:kern w:val="0"/>
                <w:sz w:val="20"/>
                <w:szCs w:val="20"/>
              </w:rPr>
            </w:pPr>
            <w:r>
              <w:rPr>
                <w:rFonts w:hint="eastAsia" w:ascii="宋体" w:hAnsi="宋体" w:cs="宋体"/>
                <w:snapToGrid w:val="0"/>
                <w:color w:val="000000"/>
                <w:spacing w:val="-3"/>
                <w:kern w:val="0"/>
                <w:sz w:val="20"/>
                <w:szCs w:val="20"/>
              </w:rPr>
              <w:t>益指标</w:t>
            </w:r>
          </w:p>
        </w:tc>
        <w:tc>
          <w:tcPr>
            <w:tcW w:w="1526" w:type="dxa"/>
            <w:gridSpan w:val="2"/>
          </w:tcPr>
          <w:p>
            <w:pPr>
              <w:widowControl/>
              <w:kinsoku w:val="0"/>
              <w:autoSpaceDE w:val="0"/>
              <w:autoSpaceDN w:val="0"/>
              <w:adjustRightInd w:val="0"/>
              <w:snapToGrid w:val="0"/>
              <w:spacing w:line="240" w:lineRule="exact"/>
              <w:jc w:val="left"/>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1、土地收入支撑地方债务化解</w:t>
            </w:r>
          </w:p>
        </w:tc>
        <w:tc>
          <w:tcPr>
            <w:tcW w:w="1051" w:type="dxa"/>
          </w:tcPr>
          <w:p>
            <w:pPr>
              <w:widowControl/>
              <w:kinsoku w:val="0"/>
              <w:autoSpaceDE w:val="0"/>
              <w:autoSpaceDN w:val="0"/>
              <w:adjustRightInd w:val="0"/>
              <w:snapToGrid w:val="0"/>
              <w:spacing w:line="240" w:lineRule="exact"/>
              <w:jc w:val="left"/>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完成政府规定任务</w:t>
            </w:r>
          </w:p>
        </w:tc>
        <w:tc>
          <w:tcPr>
            <w:tcW w:w="1259" w:type="dxa"/>
          </w:tcPr>
          <w:p>
            <w:pPr>
              <w:widowControl/>
              <w:kinsoku w:val="0"/>
              <w:autoSpaceDE w:val="0"/>
              <w:autoSpaceDN w:val="0"/>
              <w:adjustRightInd w:val="0"/>
              <w:snapToGrid w:val="0"/>
              <w:spacing w:line="240" w:lineRule="exact"/>
              <w:jc w:val="left"/>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完成土地收入106．52亿元元</w:t>
            </w:r>
          </w:p>
        </w:tc>
        <w:tc>
          <w:tcPr>
            <w:tcW w:w="709" w:type="dxa"/>
          </w:tcPr>
          <w:p>
            <w:pPr>
              <w:widowControl/>
              <w:kinsoku w:val="0"/>
              <w:autoSpaceDE w:val="0"/>
              <w:autoSpaceDN w:val="0"/>
              <w:adjustRightInd w:val="0"/>
              <w:snapToGrid w:val="0"/>
              <w:spacing w:line="24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4</w:t>
            </w:r>
          </w:p>
        </w:tc>
        <w:tc>
          <w:tcPr>
            <w:tcW w:w="869" w:type="dxa"/>
          </w:tcPr>
          <w:p>
            <w:pPr>
              <w:widowControl/>
              <w:kinsoku w:val="0"/>
              <w:autoSpaceDE w:val="0"/>
              <w:autoSpaceDN w:val="0"/>
              <w:adjustRightInd w:val="0"/>
              <w:snapToGrid w:val="0"/>
              <w:spacing w:line="24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3</w:t>
            </w:r>
          </w:p>
        </w:tc>
        <w:tc>
          <w:tcPr>
            <w:tcW w:w="1433" w:type="dxa"/>
          </w:tcPr>
          <w:p>
            <w:pPr>
              <w:widowControl/>
              <w:kinsoku w:val="0"/>
              <w:autoSpaceDE w:val="0"/>
              <w:autoSpaceDN w:val="0"/>
              <w:adjustRightInd w:val="0"/>
              <w:snapToGrid w:val="0"/>
              <w:spacing w:line="240" w:lineRule="exact"/>
              <w:jc w:val="left"/>
              <w:textAlignment w:val="baseline"/>
              <w:rPr>
                <w:rFonts w:ascii="Arial" w:hAnsi="Arial" w:cs="Arial"/>
                <w:snapToGrid w:val="0"/>
                <w:color w:val="0000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jc w:val="center"/>
        </w:trPr>
        <w:tc>
          <w:tcPr>
            <w:tcW w:w="1074" w:type="dxa"/>
            <w:vMerge w:val="continue"/>
            <w:tcBorders>
              <w:top w:val="nil"/>
              <w:bottom w:val="nil"/>
            </w:tcBorders>
            <w:textDirection w:val="tbRlV"/>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69"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09"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526" w:type="dxa"/>
            <w:gridSpan w:val="2"/>
          </w:tcPr>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2、争取中央、省级资金</w:t>
            </w:r>
          </w:p>
        </w:tc>
        <w:tc>
          <w:tcPr>
            <w:tcW w:w="1051" w:type="dxa"/>
          </w:tcPr>
          <w:p>
            <w:pPr>
              <w:widowControl/>
              <w:kinsoku w:val="0"/>
              <w:autoSpaceDE w:val="0"/>
              <w:autoSpaceDN w:val="0"/>
              <w:adjustRightInd w:val="0"/>
              <w:snapToGrid w:val="0"/>
              <w:spacing w:line="240" w:lineRule="exact"/>
              <w:jc w:val="center"/>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10.41亿元</w:t>
            </w:r>
          </w:p>
        </w:tc>
        <w:tc>
          <w:tcPr>
            <w:tcW w:w="1259" w:type="dxa"/>
          </w:tcPr>
          <w:p>
            <w:pPr>
              <w:widowControl/>
              <w:kinsoku w:val="0"/>
              <w:autoSpaceDE w:val="0"/>
              <w:autoSpaceDN w:val="0"/>
              <w:adjustRightInd w:val="0"/>
              <w:snapToGrid w:val="0"/>
              <w:spacing w:line="240" w:lineRule="exact"/>
              <w:jc w:val="center"/>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已完成</w:t>
            </w:r>
          </w:p>
        </w:tc>
        <w:tc>
          <w:tcPr>
            <w:tcW w:w="709" w:type="dxa"/>
          </w:tcPr>
          <w:p>
            <w:pPr>
              <w:widowControl/>
              <w:kinsoku w:val="0"/>
              <w:autoSpaceDE w:val="0"/>
              <w:autoSpaceDN w:val="0"/>
              <w:adjustRightInd w:val="0"/>
              <w:snapToGrid w:val="0"/>
              <w:spacing w:line="239"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4</w:t>
            </w:r>
          </w:p>
        </w:tc>
        <w:tc>
          <w:tcPr>
            <w:tcW w:w="869" w:type="dxa"/>
          </w:tcPr>
          <w:p>
            <w:pPr>
              <w:widowControl/>
              <w:kinsoku w:val="0"/>
              <w:autoSpaceDE w:val="0"/>
              <w:autoSpaceDN w:val="0"/>
              <w:adjustRightInd w:val="0"/>
              <w:snapToGrid w:val="0"/>
              <w:spacing w:line="239"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4</w:t>
            </w:r>
          </w:p>
        </w:tc>
        <w:tc>
          <w:tcPr>
            <w:tcW w:w="1433" w:type="dxa"/>
          </w:tcPr>
          <w:p>
            <w:pPr>
              <w:widowControl/>
              <w:kinsoku w:val="0"/>
              <w:autoSpaceDE w:val="0"/>
              <w:autoSpaceDN w:val="0"/>
              <w:adjustRightInd w:val="0"/>
              <w:snapToGrid w:val="0"/>
              <w:spacing w:line="239" w:lineRule="exact"/>
              <w:jc w:val="left"/>
              <w:textAlignment w:val="baseline"/>
              <w:rPr>
                <w:rFonts w:ascii="Arial" w:hAnsi="Arial" w:cs="Arial"/>
                <w:snapToGrid w:val="0"/>
                <w:color w:val="0000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jc w:val="center"/>
        </w:trPr>
        <w:tc>
          <w:tcPr>
            <w:tcW w:w="1074" w:type="dxa"/>
            <w:vMerge w:val="continue"/>
            <w:tcBorders>
              <w:top w:val="nil"/>
              <w:bottom w:val="nil"/>
            </w:tcBorders>
            <w:textDirection w:val="tbRlV"/>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69"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09" w:type="dxa"/>
            <w:vMerge w:val="continue"/>
            <w:tcBorders>
              <w:top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526" w:type="dxa"/>
            <w:gridSpan w:val="2"/>
          </w:tcPr>
          <w:p>
            <w:pPr>
              <w:widowControl/>
              <w:kinsoku w:val="0"/>
              <w:autoSpaceDE w:val="0"/>
              <w:autoSpaceDN w:val="0"/>
              <w:adjustRightInd w:val="0"/>
              <w:snapToGrid w:val="0"/>
              <w:spacing w:line="240" w:lineRule="exact"/>
              <w:jc w:val="left"/>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3、实现非税收入任务</w:t>
            </w:r>
          </w:p>
        </w:tc>
        <w:tc>
          <w:tcPr>
            <w:tcW w:w="1051" w:type="dxa"/>
          </w:tcPr>
          <w:p>
            <w:pPr>
              <w:widowControl/>
              <w:kinsoku w:val="0"/>
              <w:autoSpaceDE w:val="0"/>
              <w:autoSpaceDN w:val="0"/>
              <w:adjustRightInd w:val="0"/>
              <w:snapToGrid w:val="0"/>
              <w:spacing w:line="24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17400万元</w:t>
            </w:r>
          </w:p>
        </w:tc>
        <w:tc>
          <w:tcPr>
            <w:tcW w:w="1259" w:type="dxa"/>
          </w:tcPr>
          <w:p>
            <w:pPr>
              <w:widowControl/>
              <w:kinsoku w:val="0"/>
              <w:autoSpaceDE w:val="0"/>
              <w:autoSpaceDN w:val="0"/>
              <w:adjustRightInd w:val="0"/>
              <w:snapToGrid w:val="0"/>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已完成</w:t>
            </w:r>
          </w:p>
        </w:tc>
        <w:tc>
          <w:tcPr>
            <w:tcW w:w="709" w:type="dxa"/>
          </w:tcPr>
          <w:p>
            <w:pPr>
              <w:widowControl/>
              <w:kinsoku w:val="0"/>
              <w:autoSpaceDE w:val="0"/>
              <w:autoSpaceDN w:val="0"/>
              <w:adjustRightInd w:val="0"/>
              <w:snapToGrid w:val="0"/>
              <w:spacing w:line="24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4</w:t>
            </w:r>
          </w:p>
        </w:tc>
        <w:tc>
          <w:tcPr>
            <w:tcW w:w="869" w:type="dxa"/>
          </w:tcPr>
          <w:p>
            <w:pPr>
              <w:widowControl/>
              <w:kinsoku w:val="0"/>
              <w:autoSpaceDE w:val="0"/>
              <w:autoSpaceDN w:val="0"/>
              <w:adjustRightInd w:val="0"/>
              <w:snapToGrid w:val="0"/>
              <w:spacing w:line="24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4</w:t>
            </w:r>
          </w:p>
        </w:tc>
        <w:tc>
          <w:tcPr>
            <w:tcW w:w="1433" w:type="dxa"/>
          </w:tcPr>
          <w:p>
            <w:pPr>
              <w:widowControl/>
              <w:kinsoku w:val="0"/>
              <w:autoSpaceDE w:val="0"/>
              <w:autoSpaceDN w:val="0"/>
              <w:adjustRightInd w:val="0"/>
              <w:snapToGrid w:val="0"/>
              <w:spacing w:line="240" w:lineRule="exact"/>
              <w:jc w:val="left"/>
              <w:textAlignment w:val="baseline"/>
              <w:rPr>
                <w:rFonts w:ascii="Arial" w:hAnsi="Arial" w:cs="Arial"/>
                <w:snapToGrid w:val="0"/>
                <w:color w:val="0000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5" w:hRule="atLeast"/>
          <w:jc w:val="center"/>
        </w:trPr>
        <w:tc>
          <w:tcPr>
            <w:tcW w:w="1074" w:type="dxa"/>
            <w:vMerge w:val="continue"/>
            <w:tcBorders>
              <w:top w:val="nil"/>
              <w:bottom w:val="nil"/>
            </w:tcBorders>
            <w:textDirection w:val="tbRlV"/>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69"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09" w:type="dxa"/>
            <w:vMerge w:val="restart"/>
            <w:tcBorders>
              <w:bottom w:val="nil"/>
            </w:tcBorders>
          </w:tcPr>
          <w:p>
            <w:pPr>
              <w:widowControl/>
              <w:kinsoku w:val="0"/>
              <w:autoSpaceDE w:val="0"/>
              <w:autoSpaceDN w:val="0"/>
              <w:adjustRightInd w:val="0"/>
              <w:snapToGrid w:val="0"/>
              <w:spacing w:before="143" w:line="232" w:lineRule="auto"/>
              <w:ind w:left="191"/>
              <w:jc w:val="left"/>
              <w:textAlignment w:val="baseline"/>
              <w:rPr>
                <w:rFonts w:ascii="宋体" w:hAnsi="宋体" w:eastAsia="宋体" w:cs="宋体"/>
                <w:snapToGrid w:val="0"/>
                <w:color w:val="000000"/>
                <w:kern w:val="0"/>
                <w:sz w:val="20"/>
                <w:szCs w:val="20"/>
              </w:rPr>
            </w:pPr>
            <w:r>
              <w:rPr>
                <w:rFonts w:hint="eastAsia" w:ascii="宋体" w:hAnsi="宋体" w:cs="宋体"/>
                <w:snapToGrid w:val="0"/>
                <w:color w:val="000000"/>
                <w:spacing w:val="-3"/>
                <w:kern w:val="0"/>
                <w:sz w:val="20"/>
                <w:szCs w:val="20"/>
              </w:rPr>
              <w:t>社会效</w:t>
            </w:r>
          </w:p>
          <w:p>
            <w:pPr>
              <w:widowControl/>
              <w:kinsoku w:val="0"/>
              <w:autoSpaceDE w:val="0"/>
              <w:autoSpaceDN w:val="0"/>
              <w:adjustRightInd w:val="0"/>
              <w:snapToGrid w:val="0"/>
              <w:spacing w:line="220" w:lineRule="auto"/>
              <w:ind w:left="191"/>
              <w:jc w:val="left"/>
              <w:textAlignment w:val="baseline"/>
              <w:rPr>
                <w:rFonts w:ascii="宋体" w:hAnsi="宋体" w:eastAsia="宋体" w:cs="宋体"/>
                <w:snapToGrid w:val="0"/>
                <w:color w:val="000000"/>
                <w:kern w:val="0"/>
                <w:sz w:val="20"/>
                <w:szCs w:val="20"/>
              </w:rPr>
            </w:pPr>
            <w:r>
              <w:rPr>
                <w:rFonts w:hint="eastAsia" w:ascii="宋体" w:hAnsi="宋体" w:cs="宋体"/>
                <w:snapToGrid w:val="0"/>
                <w:color w:val="000000"/>
                <w:spacing w:val="-3"/>
                <w:kern w:val="0"/>
                <w:sz w:val="20"/>
                <w:szCs w:val="20"/>
              </w:rPr>
              <w:t>益指标</w:t>
            </w:r>
          </w:p>
        </w:tc>
        <w:tc>
          <w:tcPr>
            <w:tcW w:w="1526" w:type="dxa"/>
            <w:gridSpan w:val="2"/>
          </w:tcPr>
          <w:p>
            <w:pPr>
              <w:widowControl/>
              <w:kinsoku w:val="0"/>
              <w:autoSpaceDE w:val="0"/>
              <w:autoSpaceDN w:val="0"/>
              <w:adjustRightInd w:val="0"/>
              <w:snapToGrid w:val="0"/>
              <w:spacing w:line="320" w:lineRule="exact"/>
              <w:jc w:val="left"/>
              <w:textAlignment w:val="center"/>
              <w:rPr>
                <w:rFonts w:ascii="Arial" w:hAnsi="Arial" w:cs="Arial"/>
                <w:snapToGrid w:val="0"/>
                <w:color w:val="000000"/>
                <w:kern w:val="0"/>
                <w:sz w:val="20"/>
                <w:szCs w:val="21"/>
              </w:rPr>
            </w:pPr>
            <w:r>
              <w:rPr>
                <w:rFonts w:hint="eastAsia" w:ascii="Arial" w:hAnsi="Arial" w:cs="Arial"/>
                <w:snapToGrid w:val="0"/>
                <w:color w:val="000000"/>
                <w:kern w:val="0"/>
                <w:sz w:val="20"/>
                <w:szCs w:val="21"/>
              </w:rPr>
              <w:t>1、规划编制成果推进中心城区的协调发展。</w:t>
            </w:r>
          </w:p>
        </w:tc>
        <w:tc>
          <w:tcPr>
            <w:tcW w:w="1051" w:type="dxa"/>
          </w:tcPr>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1、强化国土空间规划支撑，构建国土空间规划体系</w:t>
            </w:r>
          </w:p>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 w:val="20"/>
                <w:szCs w:val="21"/>
              </w:rPr>
            </w:pPr>
            <w:r>
              <w:rPr>
                <w:rFonts w:hint="eastAsia" w:ascii="Arial" w:hAnsi="Arial" w:cs="Arial"/>
                <w:snapToGrid w:val="0"/>
                <w:color w:val="000000"/>
                <w:kern w:val="0"/>
                <w:sz w:val="20"/>
                <w:szCs w:val="21"/>
              </w:rPr>
              <w:t>2、积极推进中心城区控制性详细规划编制</w:t>
            </w:r>
          </w:p>
          <w:p>
            <w:pPr>
              <w:widowControl/>
              <w:kinsoku w:val="0"/>
              <w:autoSpaceDE w:val="0"/>
              <w:autoSpaceDN w:val="0"/>
              <w:adjustRightInd w:val="0"/>
              <w:snapToGrid w:val="0"/>
              <w:spacing w:line="240" w:lineRule="exact"/>
              <w:jc w:val="left"/>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3、稳步推进村庄规划编制，</w:t>
            </w:r>
          </w:p>
        </w:tc>
        <w:tc>
          <w:tcPr>
            <w:tcW w:w="1259" w:type="dxa"/>
          </w:tcPr>
          <w:p>
            <w:pPr>
              <w:widowControl/>
              <w:kinsoku w:val="0"/>
              <w:autoSpaceDE w:val="0"/>
              <w:autoSpaceDN w:val="0"/>
              <w:adjustRightInd w:val="0"/>
              <w:snapToGrid w:val="0"/>
              <w:ind w:firstLine="400" w:firstLineChars="200"/>
              <w:jc w:val="left"/>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保障了重点产业发展和中心城市的发展需求，为我市建设名副其实的省域副中心城市给予了强有力的要素保障。编制了500个村庄规划方案，在全省</w:t>
            </w:r>
            <w:r>
              <w:rPr>
                <w:rFonts w:ascii="Arial" w:hAnsi="Arial" w:cs="Arial"/>
                <w:snapToGrid w:val="0"/>
                <w:color w:val="000000"/>
                <w:kern w:val="0"/>
                <w:sz w:val="20"/>
                <w:szCs w:val="21"/>
              </w:rPr>
              <w:t>优秀国土空间规划设计和案例展评活动</w:t>
            </w:r>
            <w:r>
              <w:rPr>
                <w:rFonts w:hint="eastAsia" w:ascii="Arial" w:hAnsi="Arial" w:cs="Arial"/>
                <w:snapToGrid w:val="0"/>
                <w:color w:val="000000"/>
                <w:kern w:val="0"/>
                <w:sz w:val="20"/>
                <w:szCs w:val="21"/>
              </w:rPr>
              <w:t>中，我市获得一等奖3个、二等奖1个、优胜奖3个，</w:t>
            </w:r>
            <w:r>
              <w:rPr>
                <w:rFonts w:ascii="Arial" w:hAnsi="Arial" w:cs="Arial"/>
                <w:snapToGrid w:val="0"/>
                <w:color w:val="000000"/>
                <w:kern w:val="0"/>
                <w:sz w:val="20"/>
                <w:szCs w:val="21"/>
              </w:rPr>
              <w:t xml:space="preserve"> </w:t>
            </w:r>
          </w:p>
        </w:tc>
        <w:tc>
          <w:tcPr>
            <w:tcW w:w="709" w:type="dxa"/>
          </w:tcPr>
          <w:p>
            <w:pPr>
              <w:widowControl/>
              <w:kinsoku w:val="0"/>
              <w:autoSpaceDE w:val="0"/>
              <w:autoSpaceDN w:val="0"/>
              <w:adjustRightInd w:val="0"/>
              <w:snapToGrid w:val="0"/>
              <w:spacing w:line="24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4</w:t>
            </w:r>
          </w:p>
        </w:tc>
        <w:tc>
          <w:tcPr>
            <w:tcW w:w="869" w:type="dxa"/>
          </w:tcPr>
          <w:p>
            <w:pPr>
              <w:widowControl/>
              <w:kinsoku w:val="0"/>
              <w:autoSpaceDE w:val="0"/>
              <w:autoSpaceDN w:val="0"/>
              <w:adjustRightInd w:val="0"/>
              <w:snapToGrid w:val="0"/>
              <w:spacing w:line="24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3</w:t>
            </w:r>
          </w:p>
        </w:tc>
        <w:tc>
          <w:tcPr>
            <w:tcW w:w="1433" w:type="dxa"/>
          </w:tcPr>
          <w:p>
            <w:pPr>
              <w:widowControl/>
              <w:kinsoku w:val="0"/>
              <w:autoSpaceDE w:val="0"/>
              <w:autoSpaceDN w:val="0"/>
              <w:adjustRightInd w:val="0"/>
              <w:snapToGrid w:val="0"/>
              <w:spacing w:line="240" w:lineRule="exact"/>
              <w:jc w:val="left"/>
              <w:textAlignment w:val="baseline"/>
              <w:rPr>
                <w:rFonts w:ascii="Arial" w:hAnsi="Arial" w:cs="Arial"/>
                <w:snapToGrid w:val="0"/>
                <w:color w:val="0000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jc w:val="center"/>
        </w:trPr>
        <w:tc>
          <w:tcPr>
            <w:tcW w:w="1074" w:type="dxa"/>
            <w:vMerge w:val="continue"/>
            <w:tcBorders>
              <w:top w:val="nil"/>
              <w:bottom w:val="nil"/>
            </w:tcBorders>
            <w:textDirection w:val="tbRlV"/>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69"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09"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526" w:type="dxa"/>
            <w:gridSpan w:val="2"/>
          </w:tcPr>
          <w:p>
            <w:pPr>
              <w:widowControl/>
              <w:kinsoku w:val="0"/>
              <w:autoSpaceDE w:val="0"/>
              <w:autoSpaceDN w:val="0"/>
              <w:adjustRightInd w:val="0"/>
              <w:snapToGrid w:val="0"/>
              <w:spacing w:line="200" w:lineRule="exact"/>
              <w:jc w:val="left"/>
              <w:textAlignment w:val="center"/>
              <w:rPr>
                <w:rFonts w:ascii="Arial" w:hAnsi="Arial" w:cs="Arial"/>
                <w:snapToGrid w:val="0"/>
                <w:color w:val="000000"/>
                <w:kern w:val="0"/>
                <w:sz w:val="20"/>
                <w:szCs w:val="21"/>
              </w:rPr>
            </w:pPr>
            <w:r>
              <w:rPr>
                <w:rFonts w:hint="eastAsia" w:ascii="Arial" w:hAnsi="Arial" w:cs="Arial"/>
                <w:snapToGrid w:val="0"/>
                <w:color w:val="000000"/>
                <w:kern w:val="0"/>
                <w:sz w:val="20"/>
                <w:szCs w:val="21"/>
              </w:rPr>
              <w:t>2、盘活存量土地，提高土地开发利用水平</w:t>
            </w:r>
          </w:p>
        </w:tc>
        <w:tc>
          <w:tcPr>
            <w:tcW w:w="1051" w:type="dxa"/>
          </w:tcPr>
          <w:p>
            <w:pPr>
              <w:widowControl/>
              <w:kinsoku w:val="0"/>
              <w:autoSpaceDE w:val="0"/>
              <w:autoSpaceDN w:val="0"/>
              <w:adjustRightInd w:val="0"/>
              <w:snapToGrid w:val="0"/>
              <w:spacing w:line="239" w:lineRule="exact"/>
              <w:jc w:val="left"/>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加强闲置土地处置力度</w:t>
            </w:r>
          </w:p>
        </w:tc>
        <w:tc>
          <w:tcPr>
            <w:tcW w:w="1259" w:type="dxa"/>
          </w:tcPr>
          <w:p>
            <w:pPr>
              <w:widowControl/>
              <w:kinsoku w:val="0"/>
              <w:autoSpaceDE w:val="0"/>
              <w:autoSpaceDN w:val="0"/>
              <w:adjustRightInd w:val="0"/>
              <w:snapToGrid w:val="0"/>
              <w:spacing w:line="239" w:lineRule="exact"/>
              <w:jc w:val="left"/>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市中心城区出让用地209宗，面积910.9公顷，土地价款128.2亿元；全年入库契税19.52亿元，同比增长16.4%</w:t>
            </w:r>
          </w:p>
        </w:tc>
        <w:tc>
          <w:tcPr>
            <w:tcW w:w="709" w:type="dxa"/>
          </w:tcPr>
          <w:p>
            <w:pPr>
              <w:widowControl/>
              <w:kinsoku w:val="0"/>
              <w:autoSpaceDE w:val="0"/>
              <w:autoSpaceDN w:val="0"/>
              <w:adjustRightInd w:val="0"/>
              <w:snapToGrid w:val="0"/>
              <w:spacing w:line="239"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4</w:t>
            </w:r>
          </w:p>
        </w:tc>
        <w:tc>
          <w:tcPr>
            <w:tcW w:w="869" w:type="dxa"/>
          </w:tcPr>
          <w:p>
            <w:pPr>
              <w:widowControl/>
              <w:kinsoku w:val="0"/>
              <w:autoSpaceDE w:val="0"/>
              <w:autoSpaceDN w:val="0"/>
              <w:adjustRightInd w:val="0"/>
              <w:snapToGrid w:val="0"/>
              <w:spacing w:line="239"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4</w:t>
            </w:r>
          </w:p>
        </w:tc>
        <w:tc>
          <w:tcPr>
            <w:tcW w:w="1433" w:type="dxa"/>
          </w:tcPr>
          <w:p>
            <w:pPr>
              <w:widowControl/>
              <w:kinsoku w:val="0"/>
              <w:autoSpaceDE w:val="0"/>
              <w:autoSpaceDN w:val="0"/>
              <w:adjustRightInd w:val="0"/>
              <w:snapToGrid w:val="0"/>
              <w:spacing w:line="239" w:lineRule="exact"/>
              <w:jc w:val="left"/>
              <w:textAlignment w:val="baseline"/>
              <w:rPr>
                <w:rFonts w:ascii="Arial" w:hAnsi="Arial" w:cs="Arial"/>
                <w:snapToGrid w:val="0"/>
                <w:color w:val="0000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jc w:val="center"/>
        </w:trPr>
        <w:tc>
          <w:tcPr>
            <w:tcW w:w="1074" w:type="dxa"/>
            <w:vMerge w:val="continue"/>
            <w:tcBorders>
              <w:top w:val="nil"/>
              <w:bottom w:val="nil"/>
            </w:tcBorders>
            <w:textDirection w:val="tbRlV"/>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69"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09" w:type="dxa"/>
            <w:vMerge w:val="continue"/>
            <w:tcBorders>
              <w:top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526" w:type="dxa"/>
            <w:gridSpan w:val="2"/>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3、增强服务意识，加大便民服务措施</w:t>
            </w:r>
          </w:p>
        </w:tc>
        <w:tc>
          <w:tcPr>
            <w:tcW w:w="1051" w:type="dxa"/>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 w:val="20"/>
                <w:szCs w:val="21"/>
              </w:rPr>
              <w:t>为老百姓提供便民利民的不动产登记及购房服务</w:t>
            </w:r>
          </w:p>
        </w:tc>
        <w:tc>
          <w:tcPr>
            <w:tcW w:w="1259" w:type="dxa"/>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 w:val="20"/>
                <w:szCs w:val="21"/>
              </w:rPr>
              <w:t>已颁发不动产权证书17050 本；全市纳入集中化解的124个问题楼盘，已完成化解112个，化解率达到90.3%。</w:t>
            </w:r>
          </w:p>
        </w:tc>
        <w:tc>
          <w:tcPr>
            <w:tcW w:w="709" w:type="dxa"/>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4</w:t>
            </w:r>
          </w:p>
        </w:tc>
        <w:tc>
          <w:tcPr>
            <w:tcW w:w="869" w:type="dxa"/>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3</w:t>
            </w:r>
          </w:p>
        </w:tc>
        <w:tc>
          <w:tcPr>
            <w:tcW w:w="1433" w:type="dxa"/>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jc w:val="center"/>
        </w:trPr>
        <w:tc>
          <w:tcPr>
            <w:tcW w:w="1074" w:type="dxa"/>
            <w:vMerge w:val="continue"/>
            <w:tcBorders>
              <w:top w:val="nil"/>
              <w:bottom w:val="nil"/>
            </w:tcBorders>
            <w:textDirection w:val="tbRlV"/>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69"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09" w:type="dxa"/>
            <w:vMerge w:val="restart"/>
            <w:tcBorders>
              <w:bottom w:val="nil"/>
            </w:tcBorders>
          </w:tcPr>
          <w:p>
            <w:pPr>
              <w:widowControl/>
              <w:kinsoku w:val="0"/>
              <w:autoSpaceDE w:val="0"/>
              <w:autoSpaceDN w:val="0"/>
              <w:adjustRightInd w:val="0"/>
              <w:snapToGrid w:val="0"/>
              <w:spacing w:before="145"/>
              <w:ind w:left="191"/>
              <w:jc w:val="left"/>
              <w:textAlignment w:val="baseline"/>
              <w:rPr>
                <w:rFonts w:ascii="宋体" w:hAnsi="宋体" w:eastAsia="宋体" w:cs="宋体"/>
                <w:snapToGrid w:val="0"/>
                <w:color w:val="000000"/>
                <w:kern w:val="0"/>
                <w:sz w:val="20"/>
                <w:szCs w:val="20"/>
              </w:rPr>
            </w:pPr>
            <w:r>
              <w:rPr>
                <w:rFonts w:hint="eastAsia" w:ascii="宋体" w:hAnsi="宋体" w:cs="宋体"/>
                <w:snapToGrid w:val="0"/>
                <w:color w:val="000000"/>
                <w:spacing w:val="-3"/>
                <w:kern w:val="0"/>
                <w:sz w:val="20"/>
                <w:szCs w:val="20"/>
              </w:rPr>
              <w:t>生态效</w:t>
            </w:r>
          </w:p>
          <w:p>
            <w:pPr>
              <w:widowControl/>
              <w:kinsoku w:val="0"/>
              <w:autoSpaceDE w:val="0"/>
              <w:autoSpaceDN w:val="0"/>
              <w:adjustRightInd w:val="0"/>
              <w:snapToGrid w:val="0"/>
              <w:spacing w:line="220" w:lineRule="auto"/>
              <w:ind w:left="191"/>
              <w:jc w:val="left"/>
              <w:textAlignment w:val="baseline"/>
              <w:rPr>
                <w:rFonts w:ascii="宋体" w:hAnsi="宋体" w:eastAsia="宋体" w:cs="宋体"/>
                <w:snapToGrid w:val="0"/>
                <w:color w:val="000000"/>
                <w:kern w:val="0"/>
                <w:sz w:val="20"/>
                <w:szCs w:val="20"/>
              </w:rPr>
            </w:pPr>
            <w:r>
              <w:rPr>
                <w:rFonts w:hint="eastAsia" w:ascii="宋体" w:hAnsi="宋体" w:cs="宋体"/>
                <w:snapToGrid w:val="0"/>
                <w:color w:val="000000"/>
                <w:spacing w:val="-3"/>
                <w:kern w:val="0"/>
                <w:sz w:val="20"/>
                <w:szCs w:val="20"/>
              </w:rPr>
              <w:t>益指标</w:t>
            </w:r>
          </w:p>
        </w:tc>
        <w:tc>
          <w:tcPr>
            <w:tcW w:w="1526" w:type="dxa"/>
            <w:gridSpan w:val="2"/>
          </w:tcPr>
          <w:p>
            <w:pPr>
              <w:widowControl/>
              <w:kinsoku w:val="0"/>
              <w:autoSpaceDE w:val="0"/>
              <w:autoSpaceDN w:val="0"/>
              <w:adjustRightInd w:val="0"/>
              <w:snapToGrid w:val="0"/>
              <w:spacing w:line="24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1、加快生态修复治理，历史遗留矿山生态修复任务</w:t>
            </w:r>
          </w:p>
        </w:tc>
        <w:tc>
          <w:tcPr>
            <w:tcW w:w="1051" w:type="dxa"/>
          </w:tcPr>
          <w:p>
            <w:pPr>
              <w:widowControl/>
              <w:kinsoku w:val="0"/>
              <w:autoSpaceDE w:val="0"/>
              <w:autoSpaceDN w:val="0"/>
              <w:adjustRightInd w:val="0"/>
              <w:snapToGrid w:val="0"/>
              <w:spacing w:line="24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91.22公顷</w:t>
            </w:r>
          </w:p>
        </w:tc>
        <w:tc>
          <w:tcPr>
            <w:tcW w:w="1259" w:type="dxa"/>
          </w:tcPr>
          <w:p>
            <w:pPr>
              <w:widowControl/>
              <w:kinsoku w:val="0"/>
              <w:autoSpaceDE w:val="0"/>
              <w:autoSpaceDN w:val="0"/>
              <w:adjustRightInd w:val="0"/>
              <w:snapToGrid w:val="0"/>
              <w:spacing w:line="24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已完成</w:t>
            </w:r>
          </w:p>
        </w:tc>
        <w:tc>
          <w:tcPr>
            <w:tcW w:w="709" w:type="dxa"/>
          </w:tcPr>
          <w:p>
            <w:pPr>
              <w:widowControl/>
              <w:kinsoku w:val="0"/>
              <w:autoSpaceDE w:val="0"/>
              <w:autoSpaceDN w:val="0"/>
              <w:adjustRightInd w:val="0"/>
              <w:snapToGrid w:val="0"/>
              <w:spacing w:line="24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1.5</w:t>
            </w:r>
          </w:p>
        </w:tc>
        <w:tc>
          <w:tcPr>
            <w:tcW w:w="869" w:type="dxa"/>
          </w:tcPr>
          <w:p>
            <w:pPr>
              <w:widowControl/>
              <w:kinsoku w:val="0"/>
              <w:autoSpaceDE w:val="0"/>
              <w:autoSpaceDN w:val="0"/>
              <w:adjustRightInd w:val="0"/>
              <w:snapToGrid w:val="0"/>
              <w:spacing w:line="24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1.5</w:t>
            </w:r>
          </w:p>
        </w:tc>
        <w:tc>
          <w:tcPr>
            <w:tcW w:w="1433" w:type="dxa"/>
          </w:tcPr>
          <w:p>
            <w:pPr>
              <w:widowControl/>
              <w:kinsoku w:val="0"/>
              <w:autoSpaceDE w:val="0"/>
              <w:autoSpaceDN w:val="0"/>
              <w:adjustRightInd w:val="0"/>
              <w:snapToGrid w:val="0"/>
              <w:spacing w:line="240" w:lineRule="exact"/>
              <w:jc w:val="left"/>
              <w:textAlignment w:val="baseline"/>
              <w:rPr>
                <w:rFonts w:ascii="Arial" w:hAnsi="Arial" w:cs="Arial"/>
                <w:snapToGrid w:val="0"/>
                <w:color w:val="0000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jc w:val="center"/>
        </w:trPr>
        <w:tc>
          <w:tcPr>
            <w:tcW w:w="1074" w:type="dxa"/>
            <w:vMerge w:val="continue"/>
            <w:tcBorders>
              <w:top w:val="nil"/>
              <w:bottom w:val="nil"/>
            </w:tcBorders>
            <w:textDirection w:val="tbRlV"/>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69"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09"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526" w:type="dxa"/>
            <w:gridSpan w:val="2"/>
          </w:tcPr>
          <w:p>
            <w:pPr>
              <w:widowControl/>
              <w:kinsoku w:val="0"/>
              <w:autoSpaceDE w:val="0"/>
              <w:autoSpaceDN w:val="0"/>
              <w:adjustRightInd w:val="0"/>
              <w:snapToGrid w:val="0"/>
              <w:spacing w:line="240" w:lineRule="exact"/>
              <w:jc w:val="left"/>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2、加快绿色矿山建设，全市建成绿色矿山任务</w:t>
            </w:r>
          </w:p>
        </w:tc>
        <w:tc>
          <w:tcPr>
            <w:tcW w:w="1051" w:type="dxa"/>
          </w:tcPr>
          <w:p>
            <w:pPr>
              <w:widowControl/>
              <w:kinsoku w:val="0"/>
              <w:autoSpaceDE w:val="0"/>
              <w:autoSpaceDN w:val="0"/>
              <w:adjustRightInd w:val="0"/>
              <w:snapToGrid w:val="0"/>
              <w:spacing w:line="24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16家</w:t>
            </w:r>
          </w:p>
        </w:tc>
        <w:tc>
          <w:tcPr>
            <w:tcW w:w="1259" w:type="dxa"/>
          </w:tcPr>
          <w:p>
            <w:pPr>
              <w:widowControl/>
              <w:kinsoku w:val="0"/>
              <w:autoSpaceDE w:val="0"/>
              <w:autoSpaceDN w:val="0"/>
              <w:adjustRightInd w:val="0"/>
              <w:snapToGrid w:val="0"/>
              <w:spacing w:line="24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已完成</w:t>
            </w:r>
          </w:p>
        </w:tc>
        <w:tc>
          <w:tcPr>
            <w:tcW w:w="709" w:type="dxa"/>
          </w:tcPr>
          <w:p>
            <w:pPr>
              <w:widowControl/>
              <w:kinsoku w:val="0"/>
              <w:autoSpaceDE w:val="0"/>
              <w:autoSpaceDN w:val="0"/>
              <w:adjustRightInd w:val="0"/>
              <w:snapToGrid w:val="0"/>
              <w:spacing w:line="24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1.5</w:t>
            </w:r>
          </w:p>
        </w:tc>
        <w:tc>
          <w:tcPr>
            <w:tcW w:w="869" w:type="dxa"/>
          </w:tcPr>
          <w:p>
            <w:pPr>
              <w:widowControl/>
              <w:kinsoku w:val="0"/>
              <w:autoSpaceDE w:val="0"/>
              <w:autoSpaceDN w:val="0"/>
              <w:adjustRightInd w:val="0"/>
              <w:snapToGrid w:val="0"/>
              <w:spacing w:line="240" w:lineRule="exact"/>
              <w:jc w:val="center"/>
              <w:textAlignment w:val="baseline"/>
              <w:rPr>
                <w:rFonts w:ascii="Arial" w:hAnsi="Arial" w:cs="Arial"/>
                <w:snapToGrid w:val="0"/>
                <w:color w:val="000000"/>
                <w:kern w:val="0"/>
                <w:sz w:val="20"/>
                <w:szCs w:val="21"/>
              </w:rPr>
            </w:pPr>
            <w:r>
              <w:rPr>
                <w:rFonts w:hint="eastAsia" w:ascii="Arial" w:hAnsi="Arial" w:cs="Arial"/>
                <w:snapToGrid w:val="0"/>
                <w:color w:val="000000"/>
                <w:kern w:val="0"/>
                <w:sz w:val="20"/>
                <w:szCs w:val="21"/>
              </w:rPr>
              <w:t>1.5</w:t>
            </w:r>
          </w:p>
        </w:tc>
        <w:tc>
          <w:tcPr>
            <w:tcW w:w="1433" w:type="dxa"/>
          </w:tcPr>
          <w:p>
            <w:pPr>
              <w:widowControl/>
              <w:kinsoku w:val="0"/>
              <w:autoSpaceDE w:val="0"/>
              <w:autoSpaceDN w:val="0"/>
              <w:adjustRightInd w:val="0"/>
              <w:snapToGrid w:val="0"/>
              <w:spacing w:line="240" w:lineRule="exact"/>
              <w:jc w:val="left"/>
              <w:textAlignment w:val="baseline"/>
              <w:rPr>
                <w:rFonts w:ascii="Arial" w:hAnsi="Arial" w:cs="Arial"/>
                <w:snapToGrid w:val="0"/>
                <w:color w:val="000000"/>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1074" w:type="dxa"/>
            <w:vMerge w:val="continue"/>
            <w:tcBorders>
              <w:top w:val="nil"/>
              <w:bottom w:val="nil"/>
            </w:tcBorders>
            <w:textDirection w:val="tbRlV"/>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69"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09" w:type="dxa"/>
            <w:vMerge w:val="restart"/>
            <w:tcBorders>
              <w:bottom w:val="nil"/>
            </w:tcBorders>
          </w:tcPr>
          <w:p>
            <w:pPr>
              <w:widowControl/>
              <w:kinsoku w:val="0"/>
              <w:autoSpaceDE w:val="0"/>
              <w:autoSpaceDN w:val="0"/>
              <w:adjustRightInd w:val="0"/>
              <w:snapToGrid w:val="0"/>
              <w:spacing w:before="214" w:line="226" w:lineRule="auto"/>
              <w:ind w:left="191" w:right="116" w:hanging="99"/>
              <w:jc w:val="left"/>
              <w:textAlignment w:val="baseline"/>
              <w:rPr>
                <w:rFonts w:ascii="宋体" w:hAnsi="宋体" w:eastAsia="宋体" w:cs="宋体"/>
                <w:snapToGrid w:val="0"/>
                <w:color w:val="000000"/>
                <w:kern w:val="0"/>
                <w:sz w:val="20"/>
                <w:szCs w:val="20"/>
              </w:rPr>
            </w:pPr>
            <w:r>
              <w:rPr>
                <w:rFonts w:hint="eastAsia" w:ascii="宋体" w:hAnsi="宋体" w:cs="宋体"/>
                <w:snapToGrid w:val="0"/>
                <w:color w:val="000000"/>
                <w:spacing w:val="-3"/>
                <w:kern w:val="0"/>
                <w:sz w:val="20"/>
                <w:szCs w:val="20"/>
              </w:rPr>
              <w:t>可持续影</w:t>
            </w:r>
            <w:r>
              <w:rPr>
                <w:rFonts w:hint="eastAsia" w:ascii="宋体" w:hAnsi="宋体" w:cs="宋体"/>
                <w:snapToGrid w:val="0"/>
                <w:color w:val="000000"/>
                <w:spacing w:val="2"/>
                <w:kern w:val="0"/>
                <w:sz w:val="20"/>
                <w:szCs w:val="20"/>
              </w:rPr>
              <w:t>响指标</w:t>
            </w:r>
          </w:p>
        </w:tc>
        <w:tc>
          <w:tcPr>
            <w:tcW w:w="1526" w:type="dxa"/>
            <w:gridSpan w:val="2"/>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1、行政运行状况</w:t>
            </w:r>
          </w:p>
        </w:tc>
        <w:tc>
          <w:tcPr>
            <w:tcW w:w="1051" w:type="dxa"/>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良好</w:t>
            </w:r>
          </w:p>
        </w:tc>
        <w:tc>
          <w:tcPr>
            <w:tcW w:w="1259" w:type="dxa"/>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可持续性较好</w:t>
            </w:r>
          </w:p>
        </w:tc>
        <w:tc>
          <w:tcPr>
            <w:tcW w:w="709" w:type="dxa"/>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 w:val="20"/>
                <w:szCs w:val="21"/>
              </w:rPr>
              <w:t>1.5</w:t>
            </w:r>
          </w:p>
        </w:tc>
        <w:tc>
          <w:tcPr>
            <w:tcW w:w="869" w:type="dxa"/>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 w:val="20"/>
                <w:szCs w:val="21"/>
              </w:rPr>
              <w:t>1.5</w:t>
            </w:r>
          </w:p>
        </w:tc>
        <w:tc>
          <w:tcPr>
            <w:tcW w:w="1433" w:type="dxa"/>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jc w:val="center"/>
        </w:trPr>
        <w:tc>
          <w:tcPr>
            <w:tcW w:w="1074" w:type="dxa"/>
            <w:vMerge w:val="continue"/>
            <w:tcBorders>
              <w:top w:val="nil"/>
              <w:bottom w:val="nil"/>
            </w:tcBorders>
            <w:textDirection w:val="tbRlV"/>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69"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09"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526" w:type="dxa"/>
            <w:gridSpan w:val="2"/>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2、行政运行成本</w:t>
            </w:r>
          </w:p>
        </w:tc>
        <w:tc>
          <w:tcPr>
            <w:tcW w:w="1051" w:type="dxa"/>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可控</w:t>
            </w:r>
          </w:p>
        </w:tc>
        <w:tc>
          <w:tcPr>
            <w:tcW w:w="1259" w:type="dxa"/>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可持续性较好</w:t>
            </w:r>
          </w:p>
        </w:tc>
        <w:tc>
          <w:tcPr>
            <w:tcW w:w="709" w:type="dxa"/>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 w:val="20"/>
                <w:szCs w:val="21"/>
              </w:rPr>
              <w:t>1.5</w:t>
            </w:r>
          </w:p>
        </w:tc>
        <w:tc>
          <w:tcPr>
            <w:tcW w:w="869" w:type="dxa"/>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 w:val="20"/>
                <w:szCs w:val="21"/>
              </w:rPr>
              <w:t>1.5</w:t>
            </w:r>
          </w:p>
        </w:tc>
        <w:tc>
          <w:tcPr>
            <w:tcW w:w="1433" w:type="dxa"/>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jc w:val="center"/>
        </w:trPr>
        <w:tc>
          <w:tcPr>
            <w:tcW w:w="1074" w:type="dxa"/>
            <w:vMerge w:val="continue"/>
            <w:tcBorders>
              <w:top w:val="nil"/>
              <w:bottom w:val="nil"/>
            </w:tcBorders>
            <w:textDirection w:val="tbRlV"/>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69" w:type="dxa"/>
            <w:vMerge w:val="continue"/>
            <w:tcBorders>
              <w:top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09" w:type="dxa"/>
            <w:vMerge w:val="continue"/>
            <w:tcBorders>
              <w:top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526" w:type="dxa"/>
            <w:gridSpan w:val="2"/>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51" w:type="dxa"/>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259" w:type="dxa"/>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709" w:type="dxa"/>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869" w:type="dxa"/>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433" w:type="dxa"/>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1074" w:type="dxa"/>
            <w:vMerge w:val="continue"/>
            <w:tcBorders>
              <w:top w:val="nil"/>
              <w:bottom w:val="nil"/>
            </w:tcBorders>
            <w:textDirection w:val="tbRlV"/>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69" w:type="dxa"/>
            <w:vMerge w:val="restart"/>
            <w:tcBorders>
              <w:bottom w:val="nil"/>
            </w:tcBorders>
          </w:tcPr>
          <w:p>
            <w:pPr>
              <w:widowControl/>
              <w:kinsoku w:val="0"/>
              <w:autoSpaceDE w:val="0"/>
              <w:autoSpaceDN w:val="0"/>
              <w:adjustRightInd w:val="0"/>
              <w:snapToGrid w:val="0"/>
              <w:spacing w:before="96" w:line="219" w:lineRule="auto"/>
              <w:ind w:left="220"/>
              <w:jc w:val="left"/>
              <w:textAlignment w:val="baseline"/>
              <w:rPr>
                <w:rFonts w:ascii="宋体" w:hAnsi="宋体" w:eastAsia="宋体" w:cs="宋体"/>
                <w:snapToGrid w:val="0"/>
                <w:color w:val="000000"/>
                <w:kern w:val="0"/>
                <w:sz w:val="20"/>
                <w:szCs w:val="20"/>
              </w:rPr>
            </w:pPr>
            <w:r>
              <w:rPr>
                <w:rFonts w:hint="eastAsia" w:ascii="宋体" w:hAnsi="宋体" w:cs="宋体"/>
                <w:snapToGrid w:val="0"/>
                <w:color w:val="000000"/>
                <w:spacing w:val="-2"/>
                <w:kern w:val="0"/>
                <w:sz w:val="20"/>
                <w:szCs w:val="20"/>
              </w:rPr>
              <w:t>满意度</w:t>
            </w:r>
          </w:p>
          <w:p>
            <w:pPr>
              <w:widowControl/>
              <w:kinsoku w:val="0"/>
              <w:autoSpaceDE w:val="0"/>
              <w:autoSpaceDN w:val="0"/>
              <w:adjustRightInd w:val="0"/>
              <w:snapToGrid w:val="0"/>
              <w:spacing w:before="23" w:line="220" w:lineRule="auto"/>
              <w:ind w:left="321"/>
              <w:jc w:val="left"/>
              <w:textAlignment w:val="baseline"/>
              <w:rPr>
                <w:rFonts w:ascii="宋体" w:hAnsi="宋体" w:eastAsia="宋体" w:cs="宋体"/>
                <w:snapToGrid w:val="0"/>
                <w:color w:val="000000"/>
                <w:kern w:val="0"/>
                <w:sz w:val="20"/>
                <w:szCs w:val="20"/>
              </w:rPr>
            </w:pPr>
            <w:r>
              <w:rPr>
                <w:rFonts w:hint="eastAsia" w:ascii="宋体" w:hAnsi="宋体" w:cs="宋体"/>
                <w:snapToGrid w:val="0"/>
                <w:color w:val="000000"/>
                <w:spacing w:val="-3"/>
                <w:kern w:val="0"/>
                <w:sz w:val="20"/>
                <w:szCs w:val="20"/>
              </w:rPr>
              <w:t>指标</w:t>
            </w:r>
          </w:p>
          <w:p>
            <w:pPr>
              <w:widowControl/>
              <w:kinsoku w:val="0"/>
              <w:autoSpaceDE w:val="0"/>
              <w:autoSpaceDN w:val="0"/>
              <w:adjustRightInd w:val="0"/>
              <w:snapToGrid w:val="0"/>
              <w:spacing w:before="21" w:line="220" w:lineRule="auto"/>
              <w:ind w:left="22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8"/>
                <w:kern w:val="0"/>
                <w:sz w:val="20"/>
                <w:szCs w:val="20"/>
              </w:rPr>
              <w:t>(10</w:t>
            </w:r>
            <w:r>
              <w:rPr>
                <w:rFonts w:hint="eastAsia" w:ascii="宋体" w:hAnsi="宋体" w:cs="宋体"/>
                <w:snapToGrid w:val="0"/>
                <w:color w:val="000000"/>
                <w:spacing w:val="8"/>
                <w:kern w:val="0"/>
                <w:sz w:val="20"/>
                <w:szCs w:val="20"/>
              </w:rPr>
              <w:t>分</w:t>
            </w:r>
            <w:r>
              <w:rPr>
                <w:rFonts w:ascii="宋体" w:hAnsi="宋体" w:eastAsia="宋体" w:cs="宋体"/>
                <w:snapToGrid w:val="0"/>
                <w:color w:val="000000"/>
                <w:spacing w:val="8"/>
                <w:kern w:val="0"/>
                <w:sz w:val="20"/>
                <w:szCs w:val="20"/>
              </w:rPr>
              <w:t>)</w:t>
            </w:r>
          </w:p>
        </w:tc>
        <w:tc>
          <w:tcPr>
            <w:tcW w:w="1009" w:type="dxa"/>
            <w:vMerge w:val="restart"/>
            <w:tcBorders>
              <w:bottom w:val="nil"/>
            </w:tcBorders>
          </w:tcPr>
          <w:p>
            <w:pPr>
              <w:widowControl/>
              <w:kinsoku w:val="0"/>
              <w:autoSpaceDE w:val="0"/>
              <w:autoSpaceDN w:val="0"/>
              <w:adjustRightInd w:val="0"/>
              <w:snapToGrid w:val="0"/>
              <w:spacing w:before="95" w:line="194" w:lineRule="auto"/>
              <w:ind w:left="92"/>
              <w:jc w:val="left"/>
              <w:textAlignment w:val="baseline"/>
              <w:rPr>
                <w:rFonts w:ascii="宋体" w:hAnsi="宋体" w:eastAsia="宋体" w:cs="宋体"/>
                <w:snapToGrid w:val="0"/>
                <w:color w:val="000000"/>
                <w:kern w:val="0"/>
                <w:sz w:val="20"/>
                <w:szCs w:val="20"/>
              </w:rPr>
            </w:pPr>
            <w:r>
              <w:rPr>
                <w:rFonts w:hint="eastAsia" w:ascii="宋体" w:hAnsi="宋体" w:cs="宋体"/>
                <w:snapToGrid w:val="0"/>
                <w:color w:val="000000"/>
                <w:spacing w:val="-2"/>
                <w:kern w:val="0"/>
                <w:sz w:val="20"/>
                <w:szCs w:val="20"/>
              </w:rPr>
              <w:t>服务对象</w:t>
            </w:r>
          </w:p>
          <w:p>
            <w:pPr>
              <w:widowControl/>
              <w:kinsoku w:val="0"/>
              <w:autoSpaceDE w:val="0"/>
              <w:autoSpaceDN w:val="0"/>
              <w:adjustRightInd w:val="0"/>
              <w:snapToGrid w:val="0"/>
              <w:spacing w:line="219" w:lineRule="auto"/>
              <w:ind w:left="92"/>
              <w:jc w:val="left"/>
              <w:textAlignment w:val="baseline"/>
              <w:rPr>
                <w:rFonts w:ascii="宋体" w:hAnsi="宋体" w:eastAsia="宋体" w:cs="宋体"/>
                <w:snapToGrid w:val="0"/>
                <w:color w:val="000000"/>
                <w:kern w:val="0"/>
                <w:sz w:val="20"/>
                <w:szCs w:val="20"/>
              </w:rPr>
            </w:pPr>
            <w:r>
              <w:rPr>
                <w:rFonts w:hint="eastAsia" w:ascii="宋体" w:hAnsi="宋体" w:cs="宋体"/>
                <w:snapToGrid w:val="0"/>
                <w:color w:val="000000"/>
                <w:spacing w:val="3"/>
                <w:kern w:val="0"/>
                <w:sz w:val="20"/>
                <w:szCs w:val="20"/>
              </w:rPr>
              <w:t>满意度指</w:t>
            </w:r>
          </w:p>
          <w:p>
            <w:pPr>
              <w:widowControl/>
              <w:kinsoku w:val="0"/>
              <w:autoSpaceDE w:val="0"/>
              <w:autoSpaceDN w:val="0"/>
              <w:adjustRightInd w:val="0"/>
              <w:snapToGrid w:val="0"/>
              <w:spacing w:before="53" w:line="220" w:lineRule="auto"/>
              <w:ind w:left="391"/>
              <w:jc w:val="left"/>
              <w:textAlignment w:val="baseline"/>
              <w:rPr>
                <w:rFonts w:ascii="宋体" w:hAnsi="宋体" w:eastAsia="宋体" w:cs="宋体"/>
                <w:snapToGrid w:val="0"/>
                <w:color w:val="000000"/>
                <w:kern w:val="0"/>
                <w:sz w:val="20"/>
                <w:szCs w:val="20"/>
              </w:rPr>
            </w:pPr>
            <w:r>
              <w:rPr>
                <w:rFonts w:hint="eastAsia" w:ascii="宋体" w:hAnsi="宋体" w:cs="宋体"/>
                <w:snapToGrid w:val="0"/>
                <w:color w:val="000000"/>
                <w:kern w:val="0"/>
                <w:sz w:val="20"/>
                <w:szCs w:val="20"/>
              </w:rPr>
              <w:t>标</w:t>
            </w:r>
          </w:p>
        </w:tc>
        <w:tc>
          <w:tcPr>
            <w:tcW w:w="1526" w:type="dxa"/>
            <w:gridSpan w:val="2"/>
          </w:tcPr>
          <w:p>
            <w:pPr>
              <w:widowControl/>
              <w:kinsoku w:val="0"/>
              <w:autoSpaceDE w:val="0"/>
              <w:autoSpaceDN w:val="0"/>
              <w:adjustRightInd w:val="0"/>
              <w:snapToGrid w:val="0"/>
              <w:spacing w:line="200" w:lineRule="exact"/>
              <w:jc w:val="left"/>
              <w:textAlignment w:val="center"/>
              <w:rPr>
                <w:rFonts w:ascii="宋体" w:hAnsi="宋体" w:cs="宋体"/>
                <w:snapToGrid w:val="0"/>
                <w:color w:val="000000"/>
                <w:spacing w:val="-3"/>
                <w:kern w:val="0"/>
                <w:sz w:val="20"/>
                <w:szCs w:val="20"/>
              </w:rPr>
            </w:pPr>
            <w:r>
              <w:rPr>
                <w:rFonts w:hint="eastAsia" w:ascii="Arial" w:hAnsi="Arial" w:cs="Arial"/>
                <w:snapToGrid w:val="0"/>
                <w:color w:val="000000"/>
                <w:kern w:val="0"/>
                <w:szCs w:val="21"/>
              </w:rPr>
              <w:t>1</w:t>
            </w:r>
            <w:r>
              <w:rPr>
                <w:rFonts w:hint="eastAsia" w:ascii="宋体" w:hAnsi="宋体" w:cs="宋体"/>
                <w:snapToGrid w:val="0"/>
                <w:color w:val="000000"/>
                <w:spacing w:val="-3"/>
                <w:kern w:val="0"/>
                <w:sz w:val="20"/>
                <w:szCs w:val="20"/>
              </w:rPr>
              <w:t>、议案回复满意率</w:t>
            </w:r>
          </w:p>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51" w:type="dxa"/>
          </w:tcPr>
          <w:p>
            <w:pPr>
              <w:widowControl/>
              <w:kinsoku w:val="0"/>
              <w:autoSpaceDE w:val="0"/>
              <w:autoSpaceDN w:val="0"/>
              <w:adjustRightInd w:val="0"/>
              <w:snapToGrid w:val="0"/>
              <w:jc w:val="left"/>
              <w:textAlignment w:val="baseline"/>
              <w:rPr>
                <w:rFonts w:ascii="宋体" w:hAnsi="宋体" w:cs="宋体"/>
                <w:snapToGrid w:val="0"/>
                <w:color w:val="000000"/>
                <w:spacing w:val="-3"/>
                <w:kern w:val="0"/>
                <w:sz w:val="20"/>
                <w:szCs w:val="20"/>
              </w:rPr>
            </w:pPr>
            <w:r>
              <w:rPr>
                <w:rFonts w:hint="eastAsia" w:ascii="宋体" w:hAnsi="宋体" w:cs="宋体"/>
                <w:snapToGrid w:val="0"/>
                <w:color w:val="000000"/>
                <w:spacing w:val="-3"/>
                <w:kern w:val="0"/>
                <w:sz w:val="20"/>
                <w:szCs w:val="20"/>
              </w:rPr>
              <w:t>议案回复满意率95%以上；</w:t>
            </w:r>
          </w:p>
        </w:tc>
        <w:tc>
          <w:tcPr>
            <w:tcW w:w="1259" w:type="dxa"/>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 w:val="20"/>
                <w:szCs w:val="21"/>
              </w:rPr>
              <w:t>已完成</w:t>
            </w:r>
          </w:p>
        </w:tc>
        <w:tc>
          <w:tcPr>
            <w:tcW w:w="709" w:type="dxa"/>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5</w:t>
            </w:r>
          </w:p>
        </w:tc>
        <w:tc>
          <w:tcPr>
            <w:tcW w:w="869" w:type="dxa"/>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4</w:t>
            </w:r>
          </w:p>
        </w:tc>
        <w:tc>
          <w:tcPr>
            <w:tcW w:w="1433" w:type="dxa"/>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jc w:val="center"/>
        </w:trPr>
        <w:tc>
          <w:tcPr>
            <w:tcW w:w="1074" w:type="dxa"/>
            <w:vMerge w:val="continue"/>
            <w:tcBorders>
              <w:top w:val="nil"/>
              <w:bottom w:val="nil"/>
            </w:tcBorders>
            <w:textDirection w:val="tbRlV"/>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69"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09"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526" w:type="dxa"/>
            <w:gridSpan w:val="2"/>
          </w:tcPr>
          <w:p>
            <w:pPr>
              <w:widowControl/>
              <w:kinsoku w:val="0"/>
              <w:autoSpaceDE w:val="0"/>
              <w:autoSpaceDN w:val="0"/>
              <w:adjustRightInd w:val="0"/>
              <w:snapToGrid w:val="0"/>
              <w:spacing w:line="200" w:lineRule="exact"/>
              <w:jc w:val="left"/>
              <w:textAlignment w:val="center"/>
              <w:rPr>
                <w:rFonts w:hint="eastAsia" w:ascii="Arial" w:hAnsi="Arial" w:cs="Arial"/>
                <w:snapToGrid w:val="0"/>
                <w:color w:val="000000"/>
                <w:kern w:val="0"/>
                <w:szCs w:val="21"/>
              </w:rPr>
            </w:pPr>
            <w:r>
              <w:rPr>
                <w:rFonts w:hint="eastAsia" w:ascii="Arial" w:hAnsi="Arial" w:cs="Arial"/>
                <w:snapToGrid w:val="0"/>
                <w:color w:val="000000"/>
                <w:kern w:val="0"/>
                <w:szCs w:val="21"/>
              </w:rPr>
              <w:t>2、信访办结回复满意率</w:t>
            </w:r>
          </w:p>
          <w:p>
            <w:pPr>
              <w:widowControl/>
              <w:kinsoku w:val="0"/>
              <w:autoSpaceDE w:val="0"/>
              <w:autoSpaceDN w:val="0"/>
              <w:adjustRightInd w:val="0"/>
              <w:snapToGrid w:val="0"/>
              <w:spacing w:line="200" w:lineRule="exact"/>
              <w:jc w:val="left"/>
              <w:textAlignment w:val="center"/>
              <w:rPr>
                <w:rFonts w:hint="eastAsia" w:ascii="Arial" w:hAnsi="Arial" w:cs="Arial"/>
                <w:snapToGrid w:val="0"/>
                <w:color w:val="000000"/>
                <w:kern w:val="0"/>
                <w:szCs w:val="21"/>
              </w:rPr>
            </w:pPr>
          </w:p>
          <w:p>
            <w:pPr>
              <w:widowControl/>
              <w:kinsoku w:val="0"/>
              <w:autoSpaceDE w:val="0"/>
              <w:autoSpaceDN w:val="0"/>
              <w:adjustRightInd w:val="0"/>
              <w:snapToGrid w:val="0"/>
              <w:spacing w:line="200" w:lineRule="exact"/>
              <w:jc w:val="left"/>
              <w:textAlignment w:val="center"/>
              <w:rPr>
                <w:rFonts w:hint="eastAsia" w:ascii="Arial" w:hAnsi="Arial" w:cs="Arial"/>
                <w:snapToGrid w:val="0"/>
                <w:color w:val="000000"/>
                <w:kern w:val="0"/>
                <w:szCs w:val="21"/>
              </w:rPr>
            </w:pPr>
          </w:p>
          <w:p>
            <w:pPr>
              <w:widowControl/>
              <w:kinsoku w:val="0"/>
              <w:autoSpaceDE w:val="0"/>
              <w:autoSpaceDN w:val="0"/>
              <w:adjustRightInd w:val="0"/>
              <w:snapToGrid w:val="0"/>
              <w:spacing w:line="200" w:lineRule="exact"/>
              <w:jc w:val="left"/>
              <w:textAlignment w:val="center"/>
              <w:rPr>
                <w:rFonts w:hint="eastAsia" w:ascii="Arial" w:hAnsi="Arial" w:cs="Arial"/>
                <w:snapToGrid w:val="0"/>
                <w:color w:val="000000"/>
                <w:kern w:val="0"/>
                <w:szCs w:val="21"/>
              </w:rPr>
            </w:pPr>
          </w:p>
          <w:p>
            <w:pPr>
              <w:widowControl/>
              <w:kinsoku w:val="0"/>
              <w:autoSpaceDE w:val="0"/>
              <w:autoSpaceDN w:val="0"/>
              <w:adjustRightInd w:val="0"/>
              <w:snapToGrid w:val="0"/>
              <w:spacing w:line="200" w:lineRule="exact"/>
              <w:jc w:val="left"/>
              <w:textAlignment w:val="center"/>
              <w:rPr>
                <w:rFonts w:hint="eastAsia" w:ascii="Arial" w:hAnsi="Arial" w:cs="Arial"/>
                <w:snapToGrid w:val="0"/>
                <w:color w:val="000000"/>
                <w:kern w:val="0"/>
                <w:szCs w:val="21"/>
              </w:rPr>
            </w:pPr>
          </w:p>
          <w:p>
            <w:pPr>
              <w:widowControl/>
              <w:kinsoku w:val="0"/>
              <w:autoSpaceDE w:val="0"/>
              <w:autoSpaceDN w:val="0"/>
              <w:adjustRightInd w:val="0"/>
              <w:snapToGrid w:val="0"/>
              <w:spacing w:line="200" w:lineRule="exact"/>
              <w:jc w:val="left"/>
              <w:textAlignment w:val="center"/>
              <w:rPr>
                <w:rFonts w:hint="eastAsia" w:ascii="Arial" w:hAnsi="Arial" w:cs="Arial"/>
                <w:snapToGrid w:val="0"/>
                <w:color w:val="000000"/>
                <w:kern w:val="0"/>
                <w:szCs w:val="21"/>
              </w:rPr>
            </w:pPr>
          </w:p>
          <w:p>
            <w:pPr>
              <w:widowControl/>
              <w:kinsoku w:val="0"/>
              <w:autoSpaceDE w:val="0"/>
              <w:autoSpaceDN w:val="0"/>
              <w:adjustRightInd w:val="0"/>
              <w:snapToGrid w:val="0"/>
              <w:spacing w:line="200" w:lineRule="exact"/>
              <w:jc w:val="left"/>
              <w:textAlignment w:val="center"/>
              <w:rPr>
                <w:rFonts w:hint="eastAsia" w:ascii="Arial" w:hAnsi="Arial" w:cs="Arial"/>
                <w:snapToGrid w:val="0"/>
                <w:color w:val="000000"/>
                <w:kern w:val="0"/>
                <w:szCs w:val="21"/>
              </w:rPr>
            </w:pPr>
          </w:p>
          <w:p>
            <w:pPr>
              <w:widowControl/>
              <w:kinsoku w:val="0"/>
              <w:autoSpaceDE w:val="0"/>
              <w:autoSpaceDN w:val="0"/>
              <w:adjustRightInd w:val="0"/>
              <w:snapToGrid w:val="0"/>
              <w:spacing w:line="200" w:lineRule="exact"/>
              <w:jc w:val="left"/>
              <w:textAlignment w:val="center"/>
              <w:rPr>
                <w:rFonts w:hint="eastAsia" w:ascii="Arial" w:hAnsi="Arial" w:cs="Arial"/>
                <w:snapToGrid w:val="0"/>
                <w:color w:val="000000"/>
                <w:kern w:val="0"/>
                <w:szCs w:val="21"/>
              </w:rPr>
            </w:pPr>
          </w:p>
          <w:p>
            <w:pPr>
              <w:widowControl/>
              <w:kinsoku w:val="0"/>
              <w:autoSpaceDE w:val="0"/>
              <w:autoSpaceDN w:val="0"/>
              <w:adjustRightInd w:val="0"/>
              <w:snapToGrid w:val="0"/>
              <w:spacing w:line="200" w:lineRule="exact"/>
              <w:jc w:val="left"/>
              <w:textAlignment w:val="center"/>
              <w:rPr>
                <w:rFonts w:hint="eastAsia" w:ascii="Arial" w:hAnsi="Arial" w:cs="Arial"/>
                <w:snapToGrid w:val="0"/>
                <w:color w:val="000000"/>
                <w:kern w:val="0"/>
                <w:szCs w:val="21"/>
              </w:rPr>
            </w:pPr>
          </w:p>
          <w:p>
            <w:pPr>
              <w:widowControl/>
              <w:kinsoku w:val="0"/>
              <w:autoSpaceDE w:val="0"/>
              <w:autoSpaceDN w:val="0"/>
              <w:adjustRightInd w:val="0"/>
              <w:snapToGrid w:val="0"/>
              <w:spacing w:line="200" w:lineRule="exact"/>
              <w:jc w:val="left"/>
              <w:textAlignment w:val="center"/>
              <w:rPr>
                <w:rFonts w:hint="eastAsia" w:ascii="Arial" w:hAnsi="Arial" w:cs="Arial"/>
                <w:snapToGrid w:val="0"/>
                <w:color w:val="000000"/>
                <w:kern w:val="0"/>
                <w:szCs w:val="21"/>
              </w:rPr>
            </w:pPr>
          </w:p>
          <w:p>
            <w:pPr>
              <w:widowControl/>
              <w:kinsoku w:val="0"/>
              <w:autoSpaceDE w:val="0"/>
              <w:autoSpaceDN w:val="0"/>
              <w:adjustRightInd w:val="0"/>
              <w:snapToGrid w:val="0"/>
              <w:spacing w:line="200" w:lineRule="exact"/>
              <w:jc w:val="left"/>
              <w:textAlignment w:val="center"/>
              <w:rPr>
                <w:rFonts w:ascii="Arial" w:hAnsi="Arial" w:cs="Arial"/>
                <w:snapToGrid w:val="0"/>
                <w:color w:val="000000"/>
                <w:kern w:val="0"/>
                <w:szCs w:val="21"/>
              </w:rPr>
            </w:pPr>
          </w:p>
        </w:tc>
        <w:tc>
          <w:tcPr>
            <w:tcW w:w="1051" w:type="dxa"/>
          </w:tcPr>
          <w:p>
            <w:pPr>
              <w:widowControl/>
              <w:kinsoku w:val="0"/>
              <w:autoSpaceDE w:val="0"/>
              <w:autoSpaceDN w:val="0"/>
              <w:adjustRightInd w:val="0"/>
              <w:snapToGrid w:val="0"/>
              <w:jc w:val="left"/>
              <w:textAlignment w:val="baseline"/>
              <w:rPr>
                <w:rFonts w:ascii="宋体" w:hAnsi="宋体" w:cs="宋体"/>
                <w:snapToGrid w:val="0"/>
                <w:color w:val="000000"/>
                <w:spacing w:val="-3"/>
                <w:kern w:val="0"/>
                <w:sz w:val="20"/>
                <w:szCs w:val="20"/>
              </w:rPr>
            </w:pPr>
            <w:r>
              <w:rPr>
                <w:rFonts w:hint="eastAsia" w:ascii="宋体" w:hAnsi="宋体" w:cs="宋体"/>
                <w:snapToGrid w:val="0"/>
                <w:color w:val="000000"/>
                <w:spacing w:val="-3"/>
                <w:kern w:val="0"/>
                <w:sz w:val="20"/>
                <w:szCs w:val="20"/>
              </w:rPr>
              <w:t>信访办结回复满意率90%以上</w:t>
            </w:r>
          </w:p>
        </w:tc>
        <w:tc>
          <w:tcPr>
            <w:tcW w:w="1259" w:type="dxa"/>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 w:val="20"/>
                <w:szCs w:val="21"/>
              </w:rPr>
              <w:t>已完成</w:t>
            </w:r>
          </w:p>
        </w:tc>
        <w:tc>
          <w:tcPr>
            <w:tcW w:w="709" w:type="dxa"/>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5</w:t>
            </w:r>
          </w:p>
        </w:tc>
        <w:tc>
          <w:tcPr>
            <w:tcW w:w="869" w:type="dxa"/>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4</w:t>
            </w:r>
          </w:p>
        </w:tc>
        <w:tc>
          <w:tcPr>
            <w:tcW w:w="1433" w:type="dxa"/>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074" w:type="dxa"/>
            <w:vMerge w:val="continue"/>
            <w:tcBorders>
              <w:top w:val="nil"/>
            </w:tcBorders>
            <w:textDirection w:val="tbRlV"/>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69" w:type="dxa"/>
            <w:vMerge w:val="continue"/>
            <w:tcBorders>
              <w:top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09" w:type="dxa"/>
            <w:vMerge w:val="continue"/>
            <w:tcBorders>
              <w:top w:val="nil"/>
            </w:tcBorders>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526" w:type="dxa"/>
            <w:gridSpan w:val="2"/>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051" w:type="dxa"/>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259" w:type="dxa"/>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709" w:type="dxa"/>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869" w:type="dxa"/>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433" w:type="dxa"/>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6988" w:type="dxa"/>
            <w:gridSpan w:val="7"/>
          </w:tcPr>
          <w:p>
            <w:pPr>
              <w:widowControl/>
              <w:kinsoku w:val="0"/>
              <w:autoSpaceDE w:val="0"/>
              <w:autoSpaceDN w:val="0"/>
              <w:adjustRightInd w:val="0"/>
              <w:snapToGrid w:val="0"/>
              <w:spacing w:before="38" w:line="218" w:lineRule="auto"/>
              <w:ind w:left="3284"/>
              <w:jc w:val="left"/>
              <w:textAlignment w:val="baseline"/>
              <w:rPr>
                <w:rFonts w:ascii="宋体" w:hAnsi="宋体" w:eastAsia="宋体" w:cs="宋体"/>
                <w:snapToGrid w:val="0"/>
                <w:color w:val="000000"/>
                <w:kern w:val="0"/>
                <w:sz w:val="20"/>
                <w:szCs w:val="20"/>
              </w:rPr>
            </w:pPr>
            <w:r>
              <w:rPr>
                <w:rFonts w:hint="eastAsia" w:ascii="宋体" w:hAnsi="宋体" w:cs="宋体"/>
                <w:snapToGrid w:val="0"/>
                <w:color w:val="000000"/>
                <w:spacing w:val="4"/>
                <w:kern w:val="0"/>
                <w:sz w:val="20"/>
                <w:szCs w:val="20"/>
              </w:rPr>
              <w:t>总分</w:t>
            </w:r>
          </w:p>
        </w:tc>
        <w:tc>
          <w:tcPr>
            <w:tcW w:w="709" w:type="dxa"/>
          </w:tcPr>
          <w:p>
            <w:pPr>
              <w:widowControl/>
              <w:kinsoku w:val="0"/>
              <w:autoSpaceDE w:val="0"/>
              <w:autoSpaceDN w:val="0"/>
              <w:adjustRightInd w:val="0"/>
              <w:snapToGrid w:val="0"/>
              <w:spacing w:before="109" w:line="166" w:lineRule="exact"/>
              <w:ind w:left="196"/>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6"/>
                <w:kern w:val="0"/>
                <w:position w:val="-2"/>
                <w:sz w:val="20"/>
                <w:szCs w:val="20"/>
              </w:rPr>
              <w:t>100</w:t>
            </w:r>
          </w:p>
        </w:tc>
        <w:tc>
          <w:tcPr>
            <w:tcW w:w="869" w:type="dxa"/>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95</w:t>
            </w:r>
          </w:p>
        </w:tc>
        <w:tc>
          <w:tcPr>
            <w:tcW w:w="1433" w:type="dxa"/>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r>
    </w:tbl>
    <w:p>
      <w:pPr>
        <w:widowControl/>
        <w:kinsoku w:val="0"/>
        <w:autoSpaceDE w:val="0"/>
        <w:autoSpaceDN w:val="0"/>
        <w:adjustRightInd w:val="0"/>
        <w:snapToGrid w:val="0"/>
        <w:spacing w:before="300" w:line="231" w:lineRule="auto"/>
        <w:ind w:left="634"/>
        <w:jc w:val="center"/>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22"/>
          <w:kern w:val="0"/>
          <w:sz w:val="22"/>
          <w:szCs w:val="22"/>
        </w:rPr>
        <w:t>填表人：</w:t>
      </w:r>
      <w:r>
        <w:rPr>
          <w:rFonts w:hint="eastAsia" w:ascii="仿宋" w:hAnsi="仿宋" w:cs="仿宋"/>
          <w:snapToGrid w:val="0"/>
          <w:color w:val="000000"/>
          <w:spacing w:val="-22"/>
          <w:kern w:val="0"/>
          <w:sz w:val="22"/>
          <w:szCs w:val="22"/>
        </w:rPr>
        <w:t xml:space="preserve">                 </w:t>
      </w:r>
      <w:r>
        <w:rPr>
          <w:rFonts w:ascii="仿宋" w:hAnsi="仿宋" w:eastAsia="仿宋" w:cs="仿宋"/>
          <w:snapToGrid w:val="0"/>
          <w:color w:val="000000"/>
          <w:spacing w:val="-22"/>
          <w:kern w:val="0"/>
          <w:sz w:val="22"/>
          <w:szCs w:val="22"/>
        </w:rPr>
        <w:t>填报日期：</w:t>
      </w:r>
      <w:r>
        <w:rPr>
          <w:rFonts w:hint="eastAsia" w:ascii="仿宋" w:hAnsi="仿宋" w:cs="仿宋"/>
          <w:snapToGrid w:val="0"/>
          <w:color w:val="000000"/>
          <w:spacing w:val="-22"/>
          <w:kern w:val="0"/>
          <w:sz w:val="22"/>
          <w:szCs w:val="22"/>
        </w:rPr>
        <w:t xml:space="preserve">                   </w:t>
      </w:r>
      <w:r>
        <w:rPr>
          <w:rFonts w:ascii="仿宋" w:hAnsi="仿宋" w:eastAsia="仿宋" w:cs="仿宋"/>
          <w:snapToGrid w:val="0"/>
          <w:color w:val="000000"/>
          <w:spacing w:val="-22"/>
          <w:kern w:val="0"/>
          <w:sz w:val="22"/>
          <w:szCs w:val="22"/>
        </w:rPr>
        <w:t>联系电话：</w:t>
      </w:r>
      <w:r>
        <w:rPr>
          <w:rFonts w:hint="eastAsia" w:ascii="仿宋" w:hAnsi="仿宋" w:cs="仿宋"/>
          <w:snapToGrid w:val="0"/>
          <w:color w:val="000000"/>
          <w:spacing w:val="-22"/>
          <w:kern w:val="0"/>
          <w:sz w:val="22"/>
          <w:szCs w:val="22"/>
        </w:rPr>
        <w:t xml:space="preserve">                                   </w:t>
      </w:r>
      <w:r>
        <w:rPr>
          <w:rFonts w:ascii="仿宋" w:hAnsi="仿宋" w:eastAsia="仿宋" w:cs="仿宋"/>
          <w:snapToGrid w:val="0"/>
          <w:color w:val="000000"/>
          <w:spacing w:val="-22"/>
          <w:kern w:val="0"/>
          <w:sz w:val="22"/>
          <w:szCs w:val="22"/>
        </w:rPr>
        <w:t>单位负责人签字：</w:t>
      </w:r>
    </w:p>
    <w:p>
      <w:pPr>
        <w:sectPr>
          <w:footerReference r:id="rId3" w:type="default"/>
          <w:pgSz w:w="11920" w:h="16850"/>
          <w:pgMar w:top="1432" w:right="945" w:bottom="1142" w:left="965" w:header="0" w:footer="884" w:gutter="0"/>
          <w:cols w:space="720" w:num="1"/>
        </w:sectPr>
      </w:pPr>
    </w:p>
    <w:p>
      <w:pPr>
        <w:widowControl/>
        <w:kinsoku w:val="0"/>
        <w:autoSpaceDE w:val="0"/>
        <w:autoSpaceDN w:val="0"/>
        <w:adjustRightInd w:val="0"/>
        <w:snapToGrid w:val="0"/>
        <w:spacing w:before="271" w:line="224" w:lineRule="auto"/>
        <w:ind w:left="689"/>
        <w:jc w:val="both"/>
        <w:textAlignment w:val="baseline"/>
        <w:rPr>
          <w:rFonts w:hint="eastAsia" w:ascii="黑体" w:hAnsi="黑体" w:eastAsia="黑体" w:cs="黑体"/>
          <w:snapToGrid w:val="0"/>
          <w:color w:val="000000"/>
          <w:kern w:val="0"/>
          <w:sz w:val="34"/>
          <w:szCs w:val="34"/>
          <w:lang w:val="en-US" w:eastAsia="zh-CN"/>
        </w:rPr>
      </w:pPr>
      <w:r>
        <w:rPr>
          <w:rFonts w:ascii="黑体" w:hAnsi="黑体" w:eastAsia="黑体" w:cs="黑体"/>
          <w:b/>
          <w:bCs/>
          <w:snapToGrid w:val="0"/>
          <w:color w:val="000000"/>
          <w:spacing w:val="3"/>
          <w:kern w:val="0"/>
          <w:sz w:val="34"/>
          <w:szCs w:val="34"/>
        </w:rPr>
        <w:t>附件</w:t>
      </w:r>
      <w:r>
        <w:rPr>
          <w:rFonts w:hint="eastAsia" w:ascii="黑体" w:hAnsi="黑体" w:eastAsia="黑体" w:cs="黑体"/>
          <w:b/>
          <w:bCs/>
          <w:snapToGrid w:val="0"/>
          <w:color w:val="000000"/>
          <w:spacing w:val="3"/>
          <w:kern w:val="0"/>
          <w:sz w:val="34"/>
          <w:szCs w:val="34"/>
          <w:lang w:val="en-US" w:eastAsia="zh-CN"/>
        </w:rPr>
        <w:t>3</w:t>
      </w:r>
    </w:p>
    <w:p>
      <w:pPr>
        <w:widowControl/>
        <w:kinsoku w:val="0"/>
        <w:autoSpaceDE w:val="0"/>
        <w:autoSpaceDN w:val="0"/>
        <w:adjustRightInd w:val="0"/>
        <w:snapToGrid w:val="0"/>
        <w:spacing w:before="173" w:line="212" w:lineRule="auto"/>
        <w:jc w:val="center"/>
        <w:textAlignment w:val="baseline"/>
        <w:rPr>
          <w:rFonts w:ascii="宋体" w:hAnsi="宋体" w:eastAsia="宋体" w:cs="宋体"/>
          <w:snapToGrid w:val="0"/>
          <w:color w:val="000000"/>
          <w:kern w:val="0"/>
          <w:sz w:val="37"/>
          <w:szCs w:val="37"/>
        </w:rPr>
      </w:pPr>
      <w:r>
        <w:rPr>
          <w:rFonts w:ascii="宋体" w:hAnsi="宋体" w:eastAsia="宋体" w:cs="宋体"/>
          <w:b/>
          <w:bCs/>
          <w:snapToGrid w:val="0"/>
          <w:color w:val="000000"/>
          <w:spacing w:val="-4"/>
          <w:kern w:val="0"/>
          <w:sz w:val="37"/>
          <w:szCs w:val="37"/>
        </w:rPr>
        <w:t>2022年度项目支出绩效自评表</w:t>
      </w:r>
    </w:p>
    <w:tbl>
      <w:tblPr>
        <w:tblStyle w:val="8"/>
        <w:tblW w:w="98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911"/>
        <w:gridCol w:w="992"/>
        <w:gridCol w:w="245"/>
        <w:gridCol w:w="1219"/>
        <w:gridCol w:w="237"/>
        <w:gridCol w:w="851"/>
        <w:gridCol w:w="1180"/>
        <w:gridCol w:w="662"/>
        <w:gridCol w:w="167"/>
        <w:gridCol w:w="684"/>
        <w:gridCol w:w="185"/>
        <w:gridCol w:w="382"/>
        <w:gridCol w:w="10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jc w:val="center"/>
        </w:trPr>
        <w:tc>
          <w:tcPr>
            <w:tcW w:w="1074" w:type="dxa"/>
            <w:shd w:val="clear" w:color="auto" w:fill="auto"/>
            <w:noWrap w:val="0"/>
            <w:vAlign w:val="top"/>
          </w:tcPr>
          <w:p>
            <w:pPr>
              <w:widowControl/>
              <w:kinsoku w:val="0"/>
              <w:autoSpaceDE w:val="0"/>
              <w:autoSpaceDN w:val="0"/>
              <w:adjustRightInd w:val="0"/>
              <w:snapToGrid w:val="0"/>
              <w:spacing w:before="63" w:line="223" w:lineRule="auto"/>
              <w:ind w:left="225"/>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项目支</w:t>
            </w:r>
          </w:p>
          <w:p>
            <w:pPr>
              <w:widowControl/>
              <w:kinsoku w:val="0"/>
              <w:autoSpaceDE w:val="0"/>
              <w:autoSpaceDN w:val="0"/>
              <w:adjustRightInd w:val="0"/>
              <w:snapToGrid w:val="0"/>
              <w:spacing w:line="201" w:lineRule="auto"/>
              <w:ind w:left="225"/>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出名称</w:t>
            </w:r>
          </w:p>
        </w:tc>
        <w:tc>
          <w:tcPr>
            <w:tcW w:w="8746" w:type="dxa"/>
            <w:gridSpan w:val="13"/>
            <w:shd w:val="clear" w:color="auto" w:fill="auto"/>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岳阳市市本级设施农业用地统一上图入库项目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074" w:type="dxa"/>
            <w:noWrap w:val="0"/>
            <w:vAlign w:val="top"/>
          </w:tcPr>
          <w:p>
            <w:pPr>
              <w:widowControl/>
              <w:kinsoku w:val="0"/>
              <w:autoSpaceDE w:val="0"/>
              <w:autoSpaceDN w:val="0"/>
              <w:adjustRightInd w:val="0"/>
              <w:snapToGrid w:val="0"/>
              <w:spacing w:before="39" w:line="213" w:lineRule="auto"/>
              <w:ind w:left="125"/>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5"/>
                <w:kern w:val="0"/>
                <w:sz w:val="20"/>
                <w:szCs w:val="20"/>
              </w:rPr>
              <w:t>主管部门</w:t>
            </w:r>
          </w:p>
        </w:tc>
        <w:tc>
          <w:tcPr>
            <w:tcW w:w="4455" w:type="dxa"/>
            <w:gridSpan w:val="6"/>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岳阳市自然资源和规划局</w:t>
            </w:r>
          </w:p>
        </w:tc>
        <w:tc>
          <w:tcPr>
            <w:tcW w:w="1180" w:type="dxa"/>
            <w:noWrap w:val="0"/>
            <w:vAlign w:val="top"/>
          </w:tcPr>
          <w:p>
            <w:pPr>
              <w:widowControl/>
              <w:kinsoku w:val="0"/>
              <w:autoSpaceDE w:val="0"/>
              <w:autoSpaceDN w:val="0"/>
              <w:adjustRightInd w:val="0"/>
              <w:snapToGrid w:val="0"/>
              <w:spacing w:before="40" w:line="212" w:lineRule="auto"/>
              <w:ind w:left="155"/>
              <w:jc w:val="left"/>
              <w:textAlignment w:val="baseline"/>
              <w:rPr>
                <w:rFonts w:ascii="Arial" w:hAnsi="Arial" w:cs="Arial"/>
                <w:snapToGrid w:val="0"/>
                <w:color w:val="000000"/>
                <w:kern w:val="0"/>
                <w:szCs w:val="21"/>
              </w:rPr>
            </w:pPr>
            <w:r>
              <w:rPr>
                <w:rFonts w:ascii="Arial" w:hAnsi="Arial" w:cs="Arial"/>
                <w:snapToGrid w:val="0"/>
                <w:color w:val="000000"/>
                <w:kern w:val="0"/>
                <w:szCs w:val="21"/>
              </w:rPr>
              <w:t>实施单位</w:t>
            </w:r>
          </w:p>
        </w:tc>
        <w:tc>
          <w:tcPr>
            <w:tcW w:w="3111" w:type="dxa"/>
            <w:gridSpan w:val="6"/>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岳阳市测绘院有限公司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1074" w:type="dxa"/>
            <w:vMerge w:val="restart"/>
            <w:noWrap w:val="0"/>
            <w:vAlign w:val="top"/>
          </w:tcPr>
          <w:p>
            <w:pPr>
              <w:widowControl/>
              <w:kinsoku w:val="0"/>
              <w:autoSpaceDE w:val="0"/>
              <w:autoSpaceDN w:val="0"/>
              <w:adjustRightInd w:val="0"/>
              <w:snapToGrid w:val="0"/>
              <w:spacing w:line="250" w:lineRule="auto"/>
              <w:jc w:val="left"/>
              <w:textAlignment w:val="baseline"/>
              <w:rPr>
                <w:rFonts w:ascii="Arial" w:hAnsi="Arial" w:cs="Arial"/>
                <w:snapToGrid w:val="0"/>
                <w:color w:val="000000"/>
                <w:kern w:val="0"/>
                <w:szCs w:val="21"/>
              </w:rPr>
            </w:pPr>
          </w:p>
          <w:p>
            <w:pPr>
              <w:widowControl/>
              <w:kinsoku w:val="0"/>
              <w:autoSpaceDE w:val="0"/>
              <w:autoSpaceDN w:val="0"/>
              <w:adjustRightInd w:val="0"/>
              <w:snapToGrid w:val="0"/>
              <w:spacing w:line="251" w:lineRule="auto"/>
              <w:jc w:val="left"/>
              <w:textAlignment w:val="baseline"/>
              <w:rPr>
                <w:rFonts w:ascii="Arial" w:hAnsi="Arial" w:cs="Arial"/>
                <w:snapToGrid w:val="0"/>
                <w:color w:val="000000"/>
                <w:kern w:val="0"/>
                <w:szCs w:val="21"/>
              </w:rPr>
            </w:pPr>
          </w:p>
          <w:p>
            <w:pPr>
              <w:widowControl/>
              <w:kinsoku w:val="0"/>
              <w:autoSpaceDE w:val="0"/>
              <w:autoSpaceDN w:val="0"/>
              <w:adjustRightInd w:val="0"/>
              <w:snapToGrid w:val="0"/>
              <w:spacing w:before="65" w:line="220" w:lineRule="auto"/>
              <w:ind w:left="125"/>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项目资金</w:t>
            </w:r>
          </w:p>
          <w:p>
            <w:pPr>
              <w:widowControl/>
              <w:kinsoku w:val="0"/>
              <w:autoSpaceDE w:val="0"/>
              <w:autoSpaceDN w:val="0"/>
              <w:adjustRightInd w:val="0"/>
              <w:snapToGrid w:val="0"/>
              <w:spacing w:before="31" w:line="220" w:lineRule="auto"/>
              <w:ind w:left="225"/>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10"/>
                <w:kern w:val="0"/>
                <w:sz w:val="20"/>
                <w:szCs w:val="20"/>
              </w:rPr>
              <w:t>(万元)</w:t>
            </w:r>
          </w:p>
        </w:tc>
        <w:tc>
          <w:tcPr>
            <w:tcW w:w="2148" w:type="dxa"/>
            <w:gridSpan w:val="3"/>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219" w:type="dxa"/>
            <w:noWrap w:val="0"/>
            <w:vAlign w:val="top"/>
          </w:tcPr>
          <w:p>
            <w:pPr>
              <w:widowControl/>
              <w:kinsoku w:val="0"/>
              <w:autoSpaceDE w:val="0"/>
              <w:autoSpaceDN w:val="0"/>
              <w:adjustRightInd w:val="0"/>
              <w:snapToGrid w:val="0"/>
              <w:spacing w:before="29"/>
              <w:ind w:left="403"/>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年初</w:t>
            </w:r>
          </w:p>
          <w:p>
            <w:pPr>
              <w:widowControl/>
              <w:kinsoku w:val="0"/>
              <w:autoSpaceDE w:val="0"/>
              <w:autoSpaceDN w:val="0"/>
              <w:adjustRightInd w:val="0"/>
              <w:snapToGrid w:val="0"/>
              <w:spacing w:line="212" w:lineRule="auto"/>
              <w:ind w:left="303"/>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预算数</w:t>
            </w:r>
          </w:p>
        </w:tc>
        <w:tc>
          <w:tcPr>
            <w:tcW w:w="1088" w:type="dxa"/>
            <w:gridSpan w:val="2"/>
            <w:noWrap w:val="0"/>
            <w:vAlign w:val="top"/>
          </w:tcPr>
          <w:p>
            <w:pPr>
              <w:widowControl/>
              <w:kinsoku w:val="0"/>
              <w:autoSpaceDE w:val="0"/>
              <w:autoSpaceDN w:val="0"/>
              <w:adjustRightInd w:val="0"/>
              <w:snapToGrid w:val="0"/>
              <w:spacing w:before="38" w:line="231" w:lineRule="auto"/>
              <w:ind w:left="364"/>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全年</w:t>
            </w:r>
          </w:p>
          <w:p>
            <w:pPr>
              <w:widowControl/>
              <w:kinsoku w:val="0"/>
              <w:autoSpaceDE w:val="0"/>
              <w:autoSpaceDN w:val="0"/>
              <w:adjustRightInd w:val="0"/>
              <w:snapToGrid w:val="0"/>
              <w:spacing w:line="212" w:lineRule="auto"/>
              <w:ind w:left="264"/>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预算数</w:t>
            </w:r>
          </w:p>
        </w:tc>
        <w:tc>
          <w:tcPr>
            <w:tcW w:w="1180" w:type="dxa"/>
            <w:noWrap w:val="0"/>
            <w:vAlign w:val="top"/>
          </w:tcPr>
          <w:p>
            <w:pPr>
              <w:widowControl/>
              <w:kinsoku w:val="0"/>
              <w:autoSpaceDE w:val="0"/>
              <w:autoSpaceDN w:val="0"/>
              <w:adjustRightInd w:val="0"/>
              <w:snapToGrid w:val="0"/>
              <w:spacing w:before="49"/>
              <w:ind w:left="354"/>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全年</w:t>
            </w:r>
          </w:p>
          <w:p>
            <w:pPr>
              <w:widowControl/>
              <w:kinsoku w:val="0"/>
              <w:autoSpaceDE w:val="0"/>
              <w:autoSpaceDN w:val="0"/>
              <w:adjustRightInd w:val="0"/>
              <w:snapToGrid w:val="0"/>
              <w:spacing w:line="193" w:lineRule="auto"/>
              <w:ind w:left="255"/>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执行数</w:t>
            </w:r>
          </w:p>
        </w:tc>
        <w:tc>
          <w:tcPr>
            <w:tcW w:w="829" w:type="dxa"/>
            <w:gridSpan w:val="2"/>
            <w:noWrap w:val="0"/>
            <w:vAlign w:val="top"/>
          </w:tcPr>
          <w:p>
            <w:pPr>
              <w:widowControl/>
              <w:kinsoku w:val="0"/>
              <w:autoSpaceDE w:val="0"/>
              <w:autoSpaceDN w:val="0"/>
              <w:adjustRightInd w:val="0"/>
              <w:snapToGrid w:val="0"/>
              <w:spacing w:before="159" w:line="219" w:lineRule="auto"/>
              <w:ind w:left="206"/>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分值</w:t>
            </w:r>
          </w:p>
        </w:tc>
        <w:tc>
          <w:tcPr>
            <w:tcW w:w="869" w:type="dxa"/>
            <w:gridSpan w:val="2"/>
            <w:noWrap w:val="0"/>
            <w:vAlign w:val="top"/>
          </w:tcPr>
          <w:p>
            <w:pPr>
              <w:widowControl/>
              <w:kinsoku w:val="0"/>
              <w:autoSpaceDE w:val="0"/>
              <w:autoSpaceDN w:val="0"/>
              <w:adjustRightInd w:val="0"/>
              <w:snapToGrid w:val="0"/>
              <w:spacing w:before="159" w:line="219" w:lineRule="auto"/>
              <w:ind w:left="127"/>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执行率</w:t>
            </w:r>
          </w:p>
        </w:tc>
        <w:tc>
          <w:tcPr>
            <w:tcW w:w="1413" w:type="dxa"/>
            <w:gridSpan w:val="2"/>
            <w:noWrap w:val="0"/>
            <w:vAlign w:val="top"/>
          </w:tcPr>
          <w:p>
            <w:pPr>
              <w:widowControl/>
              <w:kinsoku w:val="0"/>
              <w:autoSpaceDE w:val="0"/>
              <w:autoSpaceDN w:val="0"/>
              <w:adjustRightInd w:val="0"/>
              <w:snapToGrid w:val="0"/>
              <w:spacing w:before="159" w:line="219" w:lineRule="auto"/>
              <w:ind w:left="498"/>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074" w:type="dxa"/>
            <w:vMerge w:val="continue"/>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2148" w:type="dxa"/>
            <w:gridSpan w:val="3"/>
            <w:noWrap w:val="0"/>
            <w:vAlign w:val="top"/>
          </w:tcPr>
          <w:p>
            <w:pPr>
              <w:widowControl/>
              <w:kinsoku w:val="0"/>
              <w:autoSpaceDE w:val="0"/>
              <w:autoSpaceDN w:val="0"/>
              <w:adjustRightInd w:val="0"/>
              <w:snapToGrid w:val="0"/>
              <w:spacing w:before="40" w:line="212" w:lineRule="auto"/>
              <w:ind w:left="10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年度资金总额</w:t>
            </w:r>
          </w:p>
        </w:tc>
        <w:tc>
          <w:tcPr>
            <w:tcW w:w="1219"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186</w:t>
            </w:r>
          </w:p>
        </w:tc>
        <w:tc>
          <w:tcPr>
            <w:tcW w:w="1088"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70.36</w:t>
            </w:r>
          </w:p>
        </w:tc>
        <w:tc>
          <w:tcPr>
            <w:tcW w:w="1180"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70.36</w:t>
            </w:r>
          </w:p>
        </w:tc>
        <w:tc>
          <w:tcPr>
            <w:tcW w:w="829" w:type="dxa"/>
            <w:gridSpan w:val="2"/>
            <w:noWrap w:val="0"/>
            <w:vAlign w:val="top"/>
          </w:tcPr>
          <w:p>
            <w:pPr>
              <w:widowControl/>
              <w:kinsoku w:val="0"/>
              <w:autoSpaceDE w:val="0"/>
              <w:autoSpaceDN w:val="0"/>
              <w:adjustRightInd w:val="0"/>
              <w:snapToGrid w:val="0"/>
              <w:spacing w:before="81" w:line="174" w:lineRule="auto"/>
              <w:ind w:left="306"/>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6"/>
                <w:kern w:val="0"/>
                <w:sz w:val="20"/>
                <w:szCs w:val="20"/>
              </w:rPr>
              <w:t>10</w:t>
            </w:r>
          </w:p>
        </w:tc>
        <w:tc>
          <w:tcPr>
            <w:tcW w:w="869"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100%</w:t>
            </w:r>
          </w:p>
        </w:tc>
        <w:tc>
          <w:tcPr>
            <w:tcW w:w="1413"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jc w:val="center"/>
        </w:trPr>
        <w:tc>
          <w:tcPr>
            <w:tcW w:w="1074" w:type="dxa"/>
            <w:vMerge w:val="continue"/>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2148" w:type="dxa"/>
            <w:gridSpan w:val="3"/>
            <w:noWrap w:val="0"/>
            <w:vAlign w:val="top"/>
          </w:tcPr>
          <w:p>
            <w:pPr>
              <w:widowControl/>
              <w:kinsoku w:val="0"/>
              <w:autoSpaceDE w:val="0"/>
              <w:autoSpaceDN w:val="0"/>
              <w:adjustRightInd w:val="0"/>
              <w:snapToGrid w:val="0"/>
              <w:spacing w:before="30" w:line="203" w:lineRule="auto"/>
              <w:ind w:left="10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1"/>
                <w:kern w:val="0"/>
                <w:sz w:val="20"/>
                <w:szCs w:val="20"/>
              </w:rPr>
              <w:t>其中：当年财政拨款</w:t>
            </w:r>
          </w:p>
        </w:tc>
        <w:tc>
          <w:tcPr>
            <w:tcW w:w="1219"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186</w:t>
            </w:r>
          </w:p>
        </w:tc>
        <w:tc>
          <w:tcPr>
            <w:tcW w:w="1088"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70.36</w:t>
            </w:r>
          </w:p>
        </w:tc>
        <w:tc>
          <w:tcPr>
            <w:tcW w:w="1180"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70.36</w:t>
            </w:r>
          </w:p>
        </w:tc>
        <w:tc>
          <w:tcPr>
            <w:tcW w:w="829"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869"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413"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1074" w:type="dxa"/>
            <w:vMerge w:val="restart"/>
            <w:noWrap w:val="0"/>
            <w:vAlign w:val="top"/>
          </w:tcPr>
          <w:p>
            <w:pPr>
              <w:widowControl/>
              <w:kinsoku w:val="0"/>
              <w:autoSpaceDE w:val="0"/>
              <w:autoSpaceDN w:val="0"/>
              <w:adjustRightInd w:val="0"/>
              <w:snapToGrid w:val="0"/>
              <w:spacing w:before="61" w:line="216" w:lineRule="auto"/>
              <w:ind w:left="324" w:right="147" w:hanging="199"/>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年度总体</w:t>
            </w:r>
            <w:r>
              <w:rPr>
                <w:rFonts w:ascii="宋体" w:hAnsi="宋体" w:eastAsia="宋体" w:cs="宋体"/>
                <w:snapToGrid w:val="0"/>
                <w:color w:val="000000"/>
                <w:spacing w:val="8"/>
                <w:kern w:val="0"/>
                <w:sz w:val="20"/>
                <w:szCs w:val="20"/>
              </w:rPr>
              <w:t>目标</w:t>
            </w:r>
          </w:p>
        </w:tc>
        <w:tc>
          <w:tcPr>
            <w:tcW w:w="4455" w:type="dxa"/>
            <w:gridSpan w:val="6"/>
            <w:noWrap w:val="0"/>
            <w:vAlign w:val="top"/>
          </w:tcPr>
          <w:p>
            <w:pPr>
              <w:widowControl/>
              <w:kinsoku w:val="0"/>
              <w:autoSpaceDE w:val="0"/>
              <w:autoSpaceDN w:val="0"/>
              <w:adjustRightInd w:val="0"/>
              <w:snapToGrid w:val="0"/>
              <w:spacing w:before="30" w:line="211" w:lineRule="auto"/>
              <w:ind w:left="1841"/>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预期目标</w:t>
            </w:r>
          </w:p>
        </w:tc>
        <w:tc>
          <w:tcPr>
            <w:tcW w:w="4291" w:type="dxa"/>
            <w:gridSpan w:val="7"/>
            <w:noWrap w:val="0"/>
            <w:vAlign w:val="top"/>
          </w:tcPr>
          <w:p>
            <w:pPr>
              <w:widowControl/>
              <w:kinsoku w:val="0"/>
              <w:autoSpaceDE w:val="0"/>
              <w:autoSpaceDN w:val="0"/>
              <w:adjustRightInd w:val="0"/>
              <w:snapToGrid w:val="0"/>
              <w:spacing w:before="30" w:line="211" w:lineRule="auto"/>
              <w:ind w:left="1515"/>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1"/>
                <w:kern w:val="0"/>
                <w:sz w:val="20"/>
                <w:szCs w:val="20"/>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jc w:val="center"/>
        </w:trPr>
        <w:tc>
          <w:tcPr>
            <w:tcW w:w="1074" w:type="dxa"/>
            <w:vMerge w:val="continue"/>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4455" w:type="dxa"/>
            <w:gridSpan w:val="6"/>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达到省厅下达指标的100%。调度部门技术力量，分多个小组同时展开外业调查，高质高效完成16.8公顷上图入库的数量指标。项目计划期内完成市本级所有设施农用地调查及上图入库，</w:t>
            </w:r>
          </w:p>
        </w:tc>
        <w:tc>
          <w:tcPr>
            <w:tcW w:w="4291" w:type="dxa"/>
            <w:gridSpan w:val="7"/>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收集了第三次国土调查成果、2018年土地变更调查成果、永久基本农田数据库、永久基本农田储备区数据库、耕地质量分等定级成果、设施农业用地历史备案资料、最新数字正射影像图等相关资料，开展的一次外业摸底调查工作，目的是把设施农业项目信息、数量、范围全面核准，一方面实地核实项目数量和概况，对已掌握设施农业用地项目开展查漏补缺；另一方面实地核实项目坐标范围，对已有范围线与实地不符的进行补充测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jc w:val="center"/>
        </w:trPr>
        <w:tc>
          <w:tcPr>
            <w:tcW w:w="1074" w:type="dxa"/>
            <w:vMerge w:val="restart"/>
            <w:noWrap w:val="0"/>
            <w:textDirection w:val="tbRlV"/>
            <w:vAlign w:val="top"/>
          </w:tcPr>
          <w:p>
            <w:pPr>
              <w:widowControl/>
              <w:kinsoku w:val="0"/>
              <w:autoSpaceDE w:val="0"/>
              <w:autoSpaceDN w:val="0"/>
              <w:adjustRightInd w:val="0"/>
              <w:snapToGrid w:val="0"/>
              <w:spacing w:line="360" w:lineRule="auto"/>
              <w:jc w:val="left"/>
              <w:textAlignment w:val="baseline"/>
              <w:rPr>
                <w:rFonts w:ascii="Arial" w:hAnsi="Arial" w:cs="Arial"/>
                <w:snapToGrid w:val="0"/>
                <w:color w:val="000000"/>
                <w:kern w:val="0"/>
                <w:szCs w:val="21"/>
              </w:rPr>
            </w:pPr>
          </w:p>
          <w:p>
            <w:pPr>
              <w:widowControl/>
              <w:kinsoku w:val="0"/>
              <w:autoSpaceDE w:val="0"/>
              <w:autoSpaceDN w:val="0"/>
              <w:adjustRightInd w:val="0"/>
              <w:snapToGrid w:val="0"/>
              <w:spacing w:before="67" w:line="217" w:lineRule="auto"/>
              <w:ind w:left="3503"/>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1"/>
                <w:kern w:val="0"/>
                <w:sz w:val="20"/>
                <w:szCs w:val="20"/>
              </w:rPr>
              <w:t>绩效指标</w:t>
            </w:r>
          </w:p>
        </w:tc>
        <w:tc>
          <w:tcPr>
            <w:tcW w:w="911" w:type="dxa"/>
            <w:noWrap w:val="0"/>
            <w:vAlign w:val="top"/>
          </w:tcPr>
          <w:p>
            <w:pPr>
              <w:widowControl/>
              <w:kinsoku w:val="0"/>
              <w:autoSpaceDE w:val="0"/>
              <w:autoSpaceDN w:val="0"/>
              <w:adjustRightInd w:val="0"/>
              <w:snapToGrid w:val="0"/>
              <w:spacing w:before="161" w:line="220" w:lineRule="auto"/>
              <w:ind w:left="121"/>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一级指标</w:t>
            </w:r>
          </w:p>
        </w:tc>
        <w:tc>
          <w:tcPr>
            <w:tcW w:w="992" w:type="dxa"/>
            <w:noWrap w:val="0"/>
            <w:vAlign w:val="top"/>
          </w:tcPr>
          <w:p>
            <w:pPr>
              <w:widowControl/>
              <w:kinsoku w:val="0"/>
              <w:autoSpaceDE w:val="0"/>
              <w:autoSpaceDN w:val="0"/>
              <w:adjustRightInd w:val="0"/>
              <w:snapToGrid w:val="0"/>
              <w:spacing w:before="161" w:line="220" w:lineRule="auto"/>
              <w:ind w:left="131"/>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二级指标</w:t>
            </w:r>
          </w:p>
        </w:tc>
        <w:tc>
          <w:tcPr>
            <w:tcW w:w="1701" w:type="dxa"/>
            <w:gridSpan w:val="3"/>
            <w:noWrap w:val="0"/>
            <w:vAlign w:val="top"/>
          </w:tcPr>
          <w:p>
            <w:pPr>
              <w:widowControl/>
              <w:kinsoku w:val="0"/>
              <w:autoSpaceDE w:val="0"/>
              <w:autoSpaceDN w:val="0"/>
              <w:adjustRightInd w:val="0"/>
              <w:snapToGrid w:val="0"/>
              <w:spacing w:before="161" w:line="220" w:lineRule="auto"/>
              <w:ind w:left="203"/>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三级指标</w:t>
            </w:r>
          </w:p>
        </w:tc>
        <w:tc>
          <w:tcPr>
            <w:tcW w:w="851" w:type="dxa"/>
            <w:noWrap w:val="0"/>
            <w:vAlign w:val="top"/>
          </w:tcPr>
          <w:p>
            <w:pPr>
              <w:widowControl/>
              <w:kinsoku w:val="0"/>
              <w:autoSpaceDE w:val="0"/>
              <w:autoSpaceDN w:val="0"/>
              <w:adjustRightInd w:val="0"/>
              <w:snapToGrid w:val="0"/>
              <w:spacing w:before="41"/>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5"/>
                <w:kern w:val="0"/>
                <w:sz w:val="20"/>
                <w:szCs w:val="20"/>
              </w:rPr>
              <w:t>年度</w:t>
            </w:r>
            <w:r>
              <w:rPr>
                <w:rFonts w:ascii="宋体" w:hAnsi="宋体" w:eastAsia="宋体" w:cs="宋体"/>
                <w:snapToGrid w:val="0"/>
                <w:color w:val="000000"/>
                <w:spacing w:val="-3"/>
                <w:kern w:val="0"/>
                <w:sz w:val="20"/>
                <w:szCs w:val="20"/>
              </w:rPr>
              <w:t>指标值</w:t>
            </w:r>
          </w:p>
        </w:tc>
        <w:tc>
          <w:tcPr>
            <w:tcW w:w="1842" w:type="dxa"/>
            <w:gridSpan w:val="2"/>
            <w:noWrap w:val="0"/>
            <w:vAlign w:val="top"/>
          </w:tcPr>
          <w:p>
            <w:pPr>
              <w:widowControl/>
              <w:kinsoku w:val="0"/>
              <w:autoSpaceDE w:val="0"/>
              <w:autoSpaceDN w:val="0"/>
              <w:adjustRightInd w:val="0"/>
              <w:snapToGrid w:val="0"/>
              <w:spacing w:before="31" w:line="280" w:lineRule="exact"/>
              <w:ind w:left="354"/>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4"/>
                <w:kern w:val="0"/>
                <w:position w:val="5"/>
                <w:sz w:val="20"/>
                <w:szCs w:val="20"/>
              </w:rPr>
              <w:t>实际</w:t>
            </w:r>
          </w:p>
          <w:p>
            <w:pPr>
              <w:widowControl/>
              <w:kinsoku w:val="0"/>
              <w:autoSpaceDE w:val="0"/>
              <w:autoSpaceDN w:val="0"/>
              <w:adjustRightInd w:val="0"/>
              <w:snapToGrid w:val="0"/>
              <w:spacing w:before="1" w:line="191" w:lineRule="auto"/>
              <w:ind w:left="255"/>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完成值</w:t>
            </w:r>
          </w:p>
        </w:tc>
        <w:tc>
          <w:tcPr>
            <w:tcW w:w="851" w:type="dxa"/>
            <w:gridSpan w:val="2"/>
            <w:noWrap w:val="0"/>
            <w:vAlign w:val="top"/>
          </w:tcPr>
          <w:p>
            <w:pPr>
              <w:widowControl/>
              <w:kinsoku w:val="0"/>
              <w:autoSpaceDE w:val="0"/>
              <w:autoSpaceDN w:val="0"/>
              <w:adjustRightInd w:val="0"/>
              <w:snapToGrid w:val="0"/>
              <w:spacing w:before="161" w:line="219" w:lineRule="auto"/>
              <w:ind w:left="206"/>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分值</w:t>
            </w:r>
          </w:p>
        </w:tc>
        <w:tc>
          <w:tcPr>
            <w:tcW w:w="567" w:type="dxa"/>
            <w:gridSpan w:val="2"/>
            <w:noWrap w:val="0"/>
            <w:vAlign w:val="top"/>
          </w:tcPr>
          <w:p>
            <w:pPr>
              <w:widowControl/>
              <w:kinsoku w:val="0"/>
              <w:autoSpaceDE w:val="0"/>
              <w:autoSpaceDN w:val="0"/>
              <w:adjustRightInd w:val="0"/>
              <w:snapToGrid w:val="0"/>
              <w:spacing w:before="161" w:line="219" w:lineRule="auto"/>
              <w:ind w:left="226"/>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得分</w:t>
            </w:r>
          </w:p>
        </w:tc>
        <w:tc>
          <w:tcPr>
            <w:tcW w:w="1031" w:type="dxa"/>
            <w:noWrap w:val="0"/>
            <w:vAlign w:val="top"/>
          </w:tcPr>
          <w:p>
            <w:pPr>
              <w:widowControl/>
              <w:kinsoku w:val="0"/>
              <w:autoSpaceDE w:val="0"/>
              <w:autoSpaceDN w:val="0"/>
              <w:adjustRightInd w:val="0"/>
              <w:snapToGrid w:val="0"/>
              <w:spacing w:before="31" w:line="219" w:lineRule="auto"/>
              <w:ind w:left="98"/>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偏差原因分析及改进措施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jc w:val="center"/>
        </w:trPr>
        <w:tc>
          <w:tcPr>
            <w:tcW w:w="1074" w:type="dxa"/>
            <w:vMerge w:val="continue"/>
            <w:noWrap w:val="0"/>
            <w:textDirection w:val="tbRlV"/>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911" w:type="dxa"/>
            <w:vMerge w:val="restart"/>
            <w:noWrap w:val="0"/>
            <w:vAlign w:val="top"/>
          </w:tcPr>
          <w:p>
            <w:pPr>
              <w:widowControl/>
              <w:kinsoku w:val="0"/>
              <w:autoSpaceDE w:val="0"/>
              <w:autoSpaceDN w:val="0"/>
              <w:adjustRightInd w:val="0"/>
              <w:snapToGrid w:val="0"/>
              <w:spacing w:line="298" w:lineRule="auto"/>
              <w:jc w:val="left"/>
              <w:textAlignment w:val="baseline"/>
              <w:rPr>
                <w:rFonts w:ascii="Arial" w:hAnsi="Arial" w:cs="Arial"/>
                <w:snapToGrid w:val="0"/>
                <w:color w:val="000000"/>
                <w:kern w:val="0"/>
                <w:szCs w:val="21"/>
              </w:rPr>
            </w:pPr>
          </w:p>
          <w:p>
            <w:pPr>
              <w:widowControl/>
              <w:kinsoku w:val="0"/>
              <w:autoSpaceDE w:val="0"/>
              <w:autoSpaceDN w:val="0"/>
              <w:adjustRightInd w:val="0"/>
              <w:snapToGrid w:val="0"/>
              <w:spacing w:line="298" w:lineRule="auto"/>
              <w:jc w:val="left"/>
              <w:textAlignment w:val="baseline"/>
              <w:rPr>
                <w:rFonts w:ascii="Arial" w:hAnsi="Arial" w:cs="Arial"/>
                <w:snapToGrid w:val="0"/>
                <w:color w:val="000000"/>
                <w:kern w:val="0"/>
                <w:szCs w:val="21"/>
              </w:rPr>
            </w:pPr>
          </w:p>
          <w:p>
            <w:pPr>
              <w:widowControl/>
              <w:kinsoku w:val="0"/>
              <w:autoSpaceDE w:val="0"/>
              <w:autoSpaceDN w:val="0"/>
              <w:adjustRightInd w:val="0"/>
              <w:snapToGrid w:val="0"/>
              <w:spacing w:before="65" w:line="219" w:lineRule="auto"/>
              <w:ind w:left="121"/>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产出指标</w:t>
            </w:r>
          </w:p>
          <w:p>
            <w:pPr>
              <w:widowControl/>
              <w:kinsoku w:val="0"/>
              <w:autoSpaceDE w:val="0"/>
              <w:autoSpaceDN w:val="0"/>
              <w:adjustRightInd w:val="0"/>
              <w:snapToGrid w:val="0"/>
              <w:spacing w:before="273" w:line="220" w:lineRule="auto"/>
              <w:ind w:left="221"/>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8"/>
                <w:kern w:val="0"/>
                <w:sz w:val="20"/>
                <w:szCs w:val="20"/>
              </w:rPr>
              <w:t>(50分)</w:t>
            </w:r>
          </w:p>
        </w:tc>
        <w:tc>
          <w:tcPr>
            <w:tcW w:w="992" w:type="dxa"/>
            <w:noWrap w:val="0"/>
            <w:vAlign w:val="top"/>
          </w:tcPr>
          <w:p>
            <w:pPr>
              <w:widowControl/>
              <w:kinsoku w:val="0"/>
              <w:autoSpaceDE w:val="0"/>
              <w:autoSpaceDN w:val="0"/>
              <w:adjustRightInd w:val="0"/>
              <w:snapToGrid w:val="0"/>
              <w:spacing w:before="65" w:line="219" w:lineRule="auto"/>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数量指标</w:t>
            </w:r>
          </w:p>
        </w:tc>
        <w:tc>
          <w:tcPr>
            <w:tcW w:w="1701" w:type="dxa"/>
            <w:gridSpan w:val="3"/>
            <w:noWrap w:val="0"/>
            <w:vAlign w:val="center"/>
          </w:tcPr>
          <w:p>
            <w:pPr>
              <w:widowControl/>
              <w:kinsoku w:val="0"/>
              <w:autoSpaceDE w:val="0"/>
              <w:autoSpaceDN w:val="0"/>
              <w:adjustRightInd w:val="0"/>
              <w:snapToGrid w:val="0"/>
              <w:spacing w:line="240" w:lineRule="exact"/>
              <w:jc w:val="left"/>
              <w:textAlignment w:val="baseline"/>
              <w:rPr>
                <w:rFonts w:ascii="宋体" w:hAnsi="宋体" w:eastAsia="宋体" w:cs="宋体"/>
                <w:snapToGrid w:val="0"/>
                <w:color w:val="000000"/>
                <w:spacing w:val="-2"/>
                <w:kern w:val="0"/>
                <w:sz w:val="20"/>
                <w:szCs w:val="20"/>
              </w:rPr>
            </w:pPr>
            <w:r>
              <w:rPr>
                <w:rFonts w:hint="eastAsia" w:ascii="宋体" w:hAnsi="宋体" w:eastAsia="宋体" w:cs="宋体"/>
                <w:snapToGrid w:val="0"/>
                <w:color w:val="000000"/>
                <w:spacing w:val="-2"/>
                <w:kern w:val="0"/>
                <w:sz w:val="20"/>
                <w:szCs w:val="20"/>
              </w:rPr>
              <w:t>上图面积</w:t>
            </w:r>
          </w:p>
        </w:tc>
        <w:tc>
          <w:tcPr>
            <w:tcW w:w="851" w:type="dxa"/>
            <w:noWrap w:val="0"/>
            <w:vAlign w:val="center"/>
          </w:tcPr>
          <w:p>
            <w:pPr>
              <w:widowControl/>
              <w:kinsoku w:val="0"/>
              <w:autoSpaceDE w:val="0"/>
              <w:autoSpaceDN w:val="0"/>
              <w:adjustRightInd w:val="0"/>
              <w:snapToGrid w:val="0"/>
              <w:jc w:val="center"/>
              <w:textAlignment w:val="baseline"/>
              <w:rPr>
                <w:rFonts w:ascii="宋体" w:hAnsi="宋体" w:eastAsia="宋体" w:cs="宋体"/>
                <w:snapToGrid w:val="0"/>
                <w:color w:val="000000"/>
                <w:spacing w:val="-2"/>
                <w:kern w:val="0"/>
                <w:sz w:val="20"/>
                <w:szCs w:val="20"/>
              </w:rPr>
            </w:pPr>
            <w:r>
              <w:rPr>
                <w:rFonts w:hint="eastAsia" w:ascii="宋体" w:hAnsi="宋体" w:eastAsia="宋体" w:cs="宋体"/>
                <w:snapToGrid w:val="0"/>
                <w:color w:val="000000"/>
                <w:spacing w:val="-2"/>
                <w:kern w:val="0"/>
                <w:sz w:val="20"/>
                <w:szCs w:val="20"/>
              </w:rPr>
              <w:t>16.8公顷</w:t>
            </w:r>
          </w:p>
        </w:tc>
        <w:tc>
          <w:tcPr>
            <w:tcW w:w="1842" w:type="dxa"/>
            <w:gridSpan w:val="2"/>
            <w:noWrap w:val="0"/>
            <w:vAlign w:val="top"/>
          </w:tcPr>
          <w:p>
            <w:pPr>
              <w:widowControl/>
              <w:kinsoku w:val="0"/>
              <w:autoSpaceDE w:val="0"/>
              <w:autoSpaceDN w:val="0"/>
              <w:adjustRightInd w:val="0"/>
              <w:snapToGrid w:val="0"/>
              <w:jc w:val="center"/>
              <w:textAlignment w:val="baseline"/>
              <w:rPr>
                <w:rFonts w:ascii="宋体" w:hAnsi="宋体" w:eastAsia="宋体" w:cs="宋体"/>
                <w:snapToGrid w:val="0"/>
                <w:color w:val="000000"/>
                <w:spacing w:val="-2"/>
                <w:kern w:val="0"/>
                <w:sz w:val="20"/>
                <w:szCs w:val="20"/>
              </w:rPr>
            </w:pPr>
            <w:r>
              <w:rPr>
                <w:rFonts w:hint="eastAsia" w:ascii="宋体" w:hAnsi="宋体" w:eastAsia="宋体" w:cs="宋体"/>
                <w:snapToGrid w:val="0"/>
                <w:color w:val="000000"/>
                <w:spacing w:val="-2"/>
                <w:kern w:val="0"/>
                <w:sz w:val="20"/>
                <w:szCs w:val="20"/>
              </w:rPr>
              <w:t>100%</w:t>
            </w:r>
          </w:p>
        </w:tc>
        <w:tc>
          <w:tcPr>
            <w:tcW w:w="851"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12.5</w:t>
            </w:r>
          </w:p>
        </w:tc>
        <w:tc>
          <w:tcPr>
            <w:tcW w:w="567"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12.5</w:t>
            </w:r>
          </w:p>
        </w:tc>
        <w:tc>
          <w:tcPr>
            <w:tcW w:w="1031" w:type="dxa"/>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074" w:type="dxa"/>
            <w:vMerge w:val="continue"/>
            <w:noWrap w:val="0"/>
            <w:textDirection w:val="tbRlV"/>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911" w:type="dxa"/>
            <w:vMerge w:val="continue"/>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992" w:type="dxa"/>
            <w:noWrap w:val="0"/>
            <w:vAlign w:val="top"/>
          </w:tcPr>
          <w:p>
            <w:pPr>
              <w:widowControl/>
              <w:kinsoku w:val="0"/>
              <w:autoSpaceDE w:val="0"/>
              <w:autoSpaceDN w:val="0"/>
              <w:adjustRightInd w:val="0"/>
              <w:snapToGrid w:val="0"/>
              <w:spacing w:before="303" w:line="220" w:lineRule="auto"/>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质量指标</w:t>
            </w:r>
          </w:p>
        </w:tc>
        <w:tc>
          <w:tcPr>
            <w:tcW w:w="1701" w:type="dxa"/>
            <w:gridSpan w:val="3"/>
            <w:noWrap w:val="0"/>
            <w:vAlign w:val="center"/>
          </w:tcPr>
          <w:p>
            <w:pPr>
              <w:widowControl/>
              <w:kinsoku w:val="0"/>
              <w:autoSpaceDE w:val="0"/>
              <w:autoSpaceDN w:val="0"/>
              <w:adjustRightInd w:val="0"/>
              <w:snapToGrid w:val="0"/>
              <w:spacing w:line="240" w:lineRule="exact"/>
              <w:jc w:val="left"/>
              <w:textAlignment w:val="baseline"/>
              <w:rPr>
                <w:rFonts w:ascii="宋体" w:hAnsi="宋体" w:eastAsia="宋体" w:cs="宋体"/>
                <w:snapToGrid w:val="0"/>
                <w:color w:val="000000"/>
                <w:spacing w:val="-2"/>
                <w:kern w:val="0"/>
                <w:sz w:val="20"/>
                <w:szCs w:val="20"/>
              </w:rPr>
            </w:pPr>
            <w:r>
              <w:rPr>
                <w:rFonts w:hint="eastAsia" w:ascii="宋体" w:hAnsi="宋体" w:eastAsia="宋体" w:cs="宋体"/>
                <w:snapToGrid w:val="0"/>
                <w:color w:val="000000"/>
                <w:spacing w:val="-2"/>
                <w:kern w:val="0"/>
                <w:sz w:val="20"/>
                <w:szCs w:val="20"/>
              </w:rPr>
              <w:t>质量验收等级</w:t>
            </w:r>
          </w:p>
        </w:tc>
        <w:tc>
          <w:tcPr>
            <w:tcW w:w="851" w:type="dxa"/>
            <w:noWrap w:val="0"/>
            <w:vAlign w:val="center"/>
          </w:tcPr>
          <w:p>
            <w:pPr>
              <w:widowControl/>
              <w:kinsoku w:val="0"/>
              <w:autoSpaceDE w:val="0"/>
              <w:autoSpaceDN w:val="0"/>
              <w:adjustRightInd w:val="0"/>
              <w:snapToGrid w:val="0"/>
              <w:spacing w:line="240" w:lineRule="exact"/>
              <w:jc w:val="left"/>
              <w:textAlignment w:val="baseline"/>
              <w:rPr>
                <w:rFonts w:hint="eastAsia" w:ascii="Arial" w:hAnsi="Arial" w:eastAsia="仿宋_GB2312" w:cs="Arial"/>
                <w:snapToGrid w:val="0"/>
                <w:color w:val="000000"/>
                <w:kern w:val="0"/>
                <w:sz w:val="24"/>
                <w:szCs w:val="21"/>
              </w:rPr>
            </w:pPr>
            <w:r>
              <w:rPr>
                <w:rFonts w:hint="eastAsia" w:ascii="宋体" w:hAnsi="宋体" w:eastAsia="宋体" w:cs="宋体"/>
                <w:snapToGrid w:val="0"/>
                <w:color w:val="000000"/>
                <w:spacing w:val="-2"/>
                <w:kern w:val="0"/>
                <w:sz w:val="20"/>
                <w:szCs w:val="20"/>
              </w:rPr>
              <w:t>验收合格</w:t>
            </w:r>
          </w:p>
        </w:tc>
        <w:tc>
          <w:tcPr>
            <w:tcW w:w="1842"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达标</w:t>
            </w:r>
          </w:p>
        </w:tc>
        <w:tc>
          <w:tcPr>
            <w:tcW w:w="851"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12.5</w:t>
            </w:r>
          </w:p>
        </w:tc>
        <w:tc>
          <w:tcPr>
            <w:tcW w:w="567"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12.5</w:t>
            </w:r>
          </w:p>
        </w:tc>
        <w:tc>
          <w:tcPr>
            <w:tcW w:w="1031"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1074" w:type="dxa"/>
            <w:vMerge w:val="continue"/>
            <w:noWrap w:val="0"/>
            <w:textDirection w:val="tbRlV"/>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911" w:type="dxa"/>
            <w:vMerge w:val="continue"/>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992" w:type="dxa"/>
            <w:noWrap w:val="0"/>
            <w:vAlign w:val="top"/>
          </w:tcPr>
          <w:p>
            <w:pPr>
              <w:widowControl/>
              <w:kinsoku w:val="0"/>
              <w:autoSpaceDE w:val="0"/>
              <w:autoSpaceDN w:val="0"/>
              <w:adjustRightInd w:val="0"/>
              <w:snapToGrid w:val="0"/>
              <w:spacing w:line="245" w:lineRule="auto"/>
              <w:jc w:val="left"/>
              <w:textAlignment w:val="baseline"/>
              <w:rPr>
                <w:rFonts w:ascii="Arial" w:hAnsi="Arial" w:cs="Arial"/>
                <w:snapToGrid w:val="0"/>
                <w:color w:val="000000"/>
                <w:kern w:val="0"/>
                <w:szCs w:val="21"/>
              </w:rPr>
            </w:pPr>
          </w:p>
          <w:p>
            <w:pPr>
              <w:widowControl/>
              <w:kinsoku w:val="0"/>
              <w:autoSpaceDE w:val="0"/>
              <w:autoSpaceDN w:val="0"/>
              <w:adjustRightInd w:val="0"/>
              <w:snapToGrid w:val="0"/>
              <w:spacing w:line="245" w:lineRule="auto"/>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时效指标</w:t>
            </w:r>
          </w:p>
        </w:tc>
        <w:tc>
          <w:tcPr>
            <w:tcW w:w="1701" w:type="dxa"/>
            <w:gridSpan w:val="3"/>
            <w:noWrap w:val="0"/>
            <w:vAlign w:val="center"/>
          </w:tcPr>
          <w:p>
            <w:pPr>
              <w:widowControl/>
              <w:kinsoku w:val="0"/>
              <w:autoSpaceDE w:val="0"/>
              <w:autoSpaceDN w:val="0"/>
              <w:adjustRightInd w:val="0"/>
              <w:snapToGrid w:val="0"/>
              <w:spacing w:line="240" w:lineRule="exact"/>
              <w:jc w:val="left"/>
              <w:textAlignment w:val="baseline"/>
              <w:rPr>
                <w:rFonts w:ascii="宋体" w:hAnsi="宋体" w:eastAsia="宋体" w:cs="宋体"/>
                <w:snapToGrid w:val="0"/>
                <w:color w:val="000000"/>
                <w:spacing w:val="-2"/>
                <w:kern w:val="0"/>
                <w:sz w:val="20"/>
                <w:szCs w:val="20"/>
              </w:rPr>
            </w:pPr>
            <w:r>
              <w:rPr>
                <w:rFonts w:hint="eastAsia" w:ascii="宋体" w:hAnsi="宋体" w:eastAsia="宋体" w:cs="宋体"/>
                <w:snapToGrid w:val="0"/>
                <w:color w:val="000000"/>
                <w:spacing w:val="-2"/>
                <w:kern w:val="0"/>
                <w:sz w:val="20"/>
                <w:szCs w:val="20"/>
              </w:rPr>
              <w:t>完成日期</w:t>
            </w:r>
          </w:p>
        </w:tc>
        <w:tc>
          <w:tcPr>
            <w:tcW w:w="851" w:type="dxa"/>
            <w:noWrap w:val="0"/>
            <w:vAlign w:val="center"/>
          </w:tcPr>
          <w:p>
            <w:pPr>
              <w:widowControl/>
              <w:kinsoku w:val="0"/>
              <w:autoSpaceDE w:val="0"/>
              <w:autoSpaceDN w:val="0"/>
              <w:adjustRightInd w:val="0"/>
              <w:snapToGrid w:val="0"/>
              <w:jc w:val="center"/>
              <w:textAlignment w:val="baseline"/>
              <w:rPr>
                <w:rFonts w:ascii="宋体" w:hAnsi="宋体" w:eastAsia="宋体" w:cs="宋体"/>
                <w:snapToGrid w:val="0"/>
                <w:color w:val="000000"/>
                <w:spacing w:val="-2"/>
                <w:kern w:val="0"/>
                <w:sz w:val="20"/>
                <w:szCs w:val="20"/>
              </w:rPr>
            </w:pPr>
            <w:r>
              <w:rPr>
                <w:rFonts w:hint="eastAsia" w:ascii="宋体" w:hAnsi="宋体" w:eastAsia="宋体" w:cs="宋体"/>
                <w:snapToGrid w:val="0"/>
                <w:color w:val="000000"/>
                <w:spacing w:val="-2"/>
                <w:kern w:val="0"/>
                <w:sz w:val="20"/>
                <w:szCs w:val="20"/>
              </w:rPr>
              <w:t>2022.9</w:t>
            </w:r>
          </w:p>
        </w:tc>
        <w:tc>
          <w:tcPr>
            <w:tcW w:w="1842"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达标</w:t>
            </w:r>
          </w:p>
        </w:tc>
        <w:tc>
          <w:tcPr>
            <w:tcW w:w="851"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12.5</w:t>
            </w:r>
          </w:p>
        </w:tc>
        <w:tc>
          <w:tcPr>
            <w:tcW w:w="567"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12.5</w:t>
            </w:r>
          </w:p>
        </w:tc>
        <w:tc>
          <w:tcPr>
            <w:tcW w:w="1031"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jc w:val="center"/>
        </w:trPr>
        <w:tc>
          <w:tcPr>
            <w:tcW w:w="1074" w:type="dxa"/>
            <w:vMerge w:val="continue"/>
            <w:noWrap w:val="0"/>
            <w:textDirection w:val="tbRlV"/>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911" w:type="dxa"/>
            <w:vMerge w:val="continue"/>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992" w:type="dxa"/>
            <w:noWrap w:val="0"/>
            <w:vAlign w:val="top"/>
          </w:tcPr>
          <w:p>
            <w:pPr>
              <w:widowControl/>
              <w:kinsoku w:val="0"/>
              <w:autoSpaceDE w:val="0"/>
              <w:autoSpaceDN w:val="0"/>
              <w:adjustRightInd w:val="0"/>
              <w:snapToGrid w:val="0"/>
              <w:spacing w:line="245" w:lineRule="auto"/>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成本指标</w:t>
            </w:r>
          </w:p>
        </w:tc>
        <w:tc>
          <w:tcPr>
            <w:tcW w:w="1701" w:type="dxa"/>
            <w:gridSpan w:val="3"/>
            <w:noWrap w:val="0"/>
            <w:vAlign w:val="center"/>
          </w:tcPr>
          <w:p>
            <w:pPr>
              <w:widowControl/>
              <w:kinsoku w:val="0"/>
              <w:autoSpaceDE w:val="0"/>
              <w:autoSpaceDN w:val="0"/>
              <w:adjustRightInd w:val="0"/>
              <w:snapToGrid w:val="0"/>
              <w:spacing w:line="240" w:lineRule="exact"/>
              <w:jc w:val="left"/>
              <w:textAlignment w:val="baseline"/>
              <w:rPr>
                <w:rFonts w:ascii="宋体" w:hAnsi="宋体" w:eastAsia="宋体" w:cs="宋体"/>
                <w:snapToGrid w:val="0"/>
                <w:color w:val="000000"/>
                <w:spacing w:val="-2"/>
                <w:kern w:val="0"/>
                <w:sz w:val="20"/>
                <w:szCs w:val="20"/>
              </w:rPr>
            </w:pPr>
            <w:r>
              <w:rPr>
                <w:rFonts w:hint="eastAsia" w:ascii="宋体" w:hAnsi="宋体" w:eastAsia="宋体" w:cs="宋体"/>
                <w:snapToGrid w:val="0"/>
                <w:color w:val="000000"/>
                <w:spacing w:val="-2"/>
                <w:kern w:val="0"/>
                <w:sz w:val="20"/>
                <w:szCs w:val="20"/>
              </w:rPr>
              <w:t>控制在预算内</w:t>
            </w:r>
          </w:p>
        </w:tc>
        <w:tc>
          <w:tcPr>
            <w:tcW w:w="851" w:type="dxa"/>
            <w:noWrap w:val="0"/>
            <w:vAlign w:val="center"/>
          </w:tcPr>
          <w:p>
            <w:pPr>
              <w:widowControl/>
              <w:kinsoku w:val="0"/>
              <w:autoSpaceDE w:val="0"/>
              <w:autoSpaceDN w:val="0"/>
              <w:adjustRightInd w:val="0"/>
              <w:snapToGrid w:val="0"/>
              <w:jc w:val="center"/>
              <w:textAlignment w:val="baseline"/>
              <w:rPr>
                <w:rFonts w:ascii="宋体" w:hAnsi="宋体" w:eastAsia="宋体" w:cs="宋体"/>
                <w:snapToGrid w:val="0"/>
                <w:color w:val="000000"/>
                <w:spacing w:val="-2"/>
                <w:kern w:val="0"/>
                <w:sz w:val="20"/>
                <w:szCs w:val="20"/>
              </w:rPr>
            </w:pPr>
            <w:r>
              <w:rPr>
                <w:rFonts w:hint="eastAsia" w:ascii="宋体" w:hAnsi="宋体" w:eastAsia="宋体" w:cs="宋体"/>
                <w:snapToGrid w:val="0"/>
                <w:color w:val="000000"/>
                <w:spacing w:val="-2"/>
                <w:kern w:val="0"/>
                <w:sz w:val="20"/>
                <w:szCs w:val="20"/>
              </w:rPr>
              <w:t>70.36</w:t>
            </w:r>
            <w:r>
              <w:rPr>
                <w:rFonts w:ascii="宋体" w:hAnsi="宋体" w:eastAsia="宋体" w:cs="宋体"/>
                <w:snapToGrid w:val="0"/>
                <w:color w:val="000000"/>
                <w:spacing w:val="-2"/>
                <w:kern w:val="0"/>
                <w:sz w:val="20"/>
                <w:szCs w:val="20"/>
              </w:rPr>
              <w:t>　</w:t>
            </w:r>
          </w:p>
        </w:tc>
        <w:tc>
          <w:tcPr>
            <w:tcW w:w="1842"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70.36</w:t>
            </w:r>
          </w:p>
        </w:tc>
        <w:tc>
          <w:tcPr>
            <w:tcW w:w="851"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12.5</w:t>
            </w:r>
          </w:p>
        </w:tc>
        <w:tc>
          <w:tcPr>
            <w:tcW w:w="567"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12.5</w:t>
            </w:r>
          </w:p>
        </w:tc>
        <w:tc>
          <w:tcPr>
            <w:tcW w:w="1031"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jc w:val="center"/>
        </w:trPr>
        <w:tc>
          <w:tcPr>
            <w:tcW w:w="1074" w:type="dxa"/>
            <w:vMerge w:val="continue"/>
            <w:noWrap w:val="0"/>
            <w:textDirection w:val="tbRlV"/>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911" w:type="dxa"/>
            <w:vMerge w:val="restart"/>
            <w:noWrap w:val="0"/>
            <w:vAlign w:val="top"/>
          </w:tcPr>
          <w:p>
            <w:pPr>
              <w:widowControl/>
              <w:kinsoku w:val="0"/>
              <w:autoSpaceDE w:val="0"/>
              <w:autoSpaceDN w:val="0"/>
              <w:adjustRightInd w:val="0"/>
              <w:snapToGrid w:val="0"/>
              <w:spacing w:line="263" w:lineRule="auto"/>
              <w:jc w:val="left"/>
              <w:textAlignment w:val="baseline"/>
              <w:rPr>
                <w:rFonts w:ascii="Arial" w:hAnsi="Arial" w:cs="Arial"/>
                <w:snapToGrid w:val="0"/>
                <w:color w:val="000000"/>
                <w:kern w:val="0"/>
                <w:szCs w:val="21"/>
              </w:rPr>
            </w:pPr>
          </w:p>
          <w:p>
            <w:pPr>
              <w:widowControl/>
              <w:kinsoku w:val="0"/>
              <w:autoSpaceDE w:val="0"/>
              <w:autoSpaceDN w:val="0"/>
              <w:adjustRightInd w:val="0"/>
              <w:snapToGrid w:val="0"/>
              <w:spacing w:line="263" w:lineRule="auto"/>
              <w:jc w:val="left"/>
              <w:textAlignment w:val="baseline"/>
              <w:rPr>
                <w:rFonts w:ascii="Arial" w:hAnsi="Arial" w:cs="Arial"/>
                <w:snapToGrid w:val="0"/>
                <w:color w:val="000000"/>
                <w:kern w:val="0"/>
                <w:szCs w:val="21"/>
              </w:rPr>
            </w:pPr>
          </w:p>
          <w:p>
            <w:pPr>
              <w:widowControl/>
              <w:kinsoku w:val="0"/>
              <w:autoSpaceDE w:val="0"/>
              <w:autoSpaceDN w:val="0"/>
              <w:adjustRightInd w:val="0"/>
              <w:snapToGrid w:val="0"/>
              <w:spacing w:line="264" w:lineRule="auto"/>
              <w:jc w:val="left"/>
              <w:textAlignment w:val="baseline"/>
              <w:rPr>
                <w:rFonts w:ascii="Arial" w:hAnsi="Arial" w:cs="Arial"/>
                <w:snapToGrid w:val="0"/>
                <w:color w:val="000000"/>
                <w:kern w:val="0"/>
                <w:szCs w:val="21"/>
              </w:rPr>
            </w:pPr>
          </w:p>
          <w:p>
            <w:pPr>
              <w:widowControl/>
              <w:kinsoku w:val="0"/>
              <w:autoSpaceDE w:val="0"/>
              <w:autoSpaceDN w:val="0"/>
              <w:adjustRightInd w:val="0"/>
              <w:snapToGrid w:val="0"/>
              <w:spacing w:line="264" w:lineRule="auto"/>
              <w:jc w:val="left"/>
              <w:textAlignment w:val="baseline"/>
              <w:rPr>
                <w:rFonts w:ascii="Arial" w:hAnsi="Arial" w:cs="Arial"/>
                <w:snapToGrid w:val="0"/>
                <w:color w:val="000000"/>
                <w:kern w:val="0"/>
                <w:szCs w:val="21"/>
              </w:rPr>
            </w:pPr>
          </w:p>
          <w:p>
            <w:pPr>
              <w:widowControl/>
              <w:kinsoku w:val="0"/>
              <w:autoSpaceDE w:val="0"/>
              <w:autoSpaceDN w:val="0"/>
              <w:adjustRightInd w:val="0"/>
              <w:snapToGrid w:val="0"/>
              <w:spacing w:before="65" w:line="220" w:lineRule="auto"/>
              <w:ind w:left="121"/>
              <w:jc w:val="left"/>
              <w:textAlignment w:val="baseline"/>
              <w:rPr>
                <w:rFonts w:ascii="宋体" w:hAnsi="宋体" w:eastAsia="宋体" w:cs="宋体"/>
                <w:snapToGrid w:val="0"/>
                <w:color w:val="000000"/>
                <w:kern w:val="0"/>
                <w:sz w:val="20"/>
                <w:szCs w:val="20"/>
              </w:rPr>
            </w:pPr>
            <w:r>
              <w:rPr>
                <w:rFonts w:hint="eastAsia" w:ascii="宋体" w:hAnsi="宋体" w:cs="宋体"/>
                <w:snapToGrid w:val="0"/>
                <w:color w:val="000000"/>
                <w:spacing w:val="1"/>
                <w:kern w:val="0"/>
                <w:sz w:val="20"/>
                <w:szCs w:val="20"/>
              </w:rPr>
              <w:t>效益指标</w:t>
            </w:r>
          </w:p>
          <w:p>
            <w:pPr>
              <w:widowControl/>
              <w:kinsoku w:val="0"/>
              <w:autoSpaceDE w:val="0"/>
              <w:autoSpaceDN w:val="0"/>
              <w:adjustRightInd w:val="0"/>
              <w:snapToGrid w:val="0"/>
              <w:spacing w:before="301" w:line="220" w:lineRule="auto"/>
              <w:ind w:left="221"/>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8"/>
                <w:kern w:val="0"/>
                <w:sz w:val="20"/>
                <w:szCs w:val="20"/>
              </w:rPr>
              <w:t>(30</w:t>
            </w:r>
            <w:r>
              <w:rPr>
                <w:rFonts w:hint="eastAsia" w:ascii="宋体" w:hAnsi="宋体" w:cs="宋体"/>
                <w:snapToGrid w:val="0"/>
                <w:color w:val="000000"/>
                <w:spacing w:val="8"/>
                <w:kern w:val="0"/>
                <w:sz w:val="20"/>
                <w:szCs w:val="20"/>
              </w:rPr>
              <w:t>分</w:t>
            </w:r>
            <w:r>
              <w:rPr>
                <w:rFonts w:ascii="宋体" w:hAnsi="宋体" w:eastAsia="宋体" w:cs="宋体"/>
                <w:snapToGrid w:val="0"/>
                <w:color w:val="000000"/>
                <w:spacing w:val="8"/>
                <w:kern w:val="0"/>
                <w:sz w:val="20"/>
                <w:szCs w:val="20"/>
              </w:rPr>
              <w:t>)</w:t>
            </w:r>
          </w:p>
        </w:tc>
        <w:tc>
          <w:tcPr>
            <w:tcW w:w="992" w:type="dxa"/>
            <w:noWrap w:val="0"/>
            <w:vAlign w:val="top"/>
          </w:tcPr>
          <w:p>
            <w:pPr>
              <w:widowControl/>
              <w:kinsoku w:val="0"/>
              <w:autoSpaceDE w:val="0"/>
              <w:autoSpaceDN w:val="0"/>
              <w:adjustRightInd w:val="0"/>
              <w:snapToGrid w:val="0"/>
              <w:spacing w:before="175" w:line="270" w:lineRule="exact"/>
              <w:jc w:val="left"/>
              <w:textAlignment w:val="baseline"/>
              <w:rPr>
                <w:rFonts w:ascii="宋体" w:hAnsi="宋体" w:eastAsia="宋体" w:cs="宋体"/>
                <w:snapToGrid w:val="0"/>
                <w:color w:val="000000"/>
                <w:kern w:val="0"/>
                <w:sz w:val="20"/>
                <w:szCs w:val="20"/>
              </w:rPr>
            </w:pPr>
            <w:r>
              <w:rPr>
                <w:rFonts w:hint="eastAsia" w:ascii="宋体" w:hAnsi="宋体" w:cs="宋体"/>
                <w:snapToGrid w:val="0"/>
                <w:color w:val="000000"/>
                <w:spacing w:val="-3"/>
                <w:kern w:val="0"/>
                <w:position w:val="4"/>
                <w:sz w:val="20"/>
                <w:szCs w:val="20"/>
              </w:rPr>
              <w:t>经济效益</w:t>
            </w:r>
          </w:p>
        </w:tc>
        <w:tc>
          <w:tcPr>
            <w:tcW w:w="1701" w:type="dxa"/>
            <w:gridSpan w:val="3"/>
            <w:noWrap w:val="0"/>
            <w:vAlign w:val="top"/>
          </w:tcPr>
          <w:p>
            <w:pPr>
              <w:widowControl/>
              <w:kinsoku w:val="0"/>
              <w:autoSpaceDE w:val="0"/>
              <w:autoSpaceDN w:val="0"/>
              <w:adjustRightInd w:val="0"/>
              <w:snapToGrid w:val="0"/>
              <w:jc w:val="left"/>
              <w:textAlignment w:val="baseline"/>
              <w:rPr>
                <w:rFonts w:ascii="宋体" w:hAnsi="宋体" w:eastAsia="宋体" w:cs="宋体"/>
                <w:snapToGrid w:val="0"/>
                <w:color w:val="000000"/>
                <w:spacing w:val="-2"/>
                <w:kern w:val="0"/>
                <w:sz w:val="20"/>
                <w:szCs w:val="20"/>
              </w:rPr>
            </w:pPr>
            <w:r>
              <w:rPr>
                <w:rFonts w:ascii="宋体" w:hAnsi="宋体" w:eastAsia="宋体" w:cs="宋体"/>
                <w:snapToGrid w:val="0"/>
                <w:color w:val="000000"/>
                <w:spacing w:val="-2"/>
                <w:kern w:val="0"/>
                <w:sz w:val="20"/>
                <w:szCs w:val="20"/>
              </w:rPr>
              <w:t>保障集体经济利益</w:t>
            </w:r>
          </w:p>
        </w:tc>
        <w:tc>
          <w:tcPr>
            <w:tcW w:w="851" w:type="dxa"/>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无</w:t>
            </w:r>
          </w:p>
        </w:tc>
        <w:tc>
          <w:tcPr>
            <w:tcW w:w="1842"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完成</w:t>
            </w:r>
          </w:p>
        </w:tc>
        <w:tc>
          <w:tcPr>
            <w:tcW w:w="851"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12.5</w:t>
            </w:r>
          </w:p>
        </w:tc>
        <w:tc>
          <w:tcPr>
            <w:tcW w:w="567"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12.5</w:t>
            </w:r>
          </w:p>
        </w:tc>
        <w:tc>
          <w:tcPr>
            <w:tcW w:w="1031"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1074" w:type="dxa"/>
            <w:vMerge w:val="continue"/>
            <w:tcBorders>
              <w:bottom w:val="single" w:color="auto" w:sz="4" w:space="0"/>
            </w:tcBorders>
            <w:noWrap w:val="0"/>
            <w:textDirection w:val="tbRlV"/>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911" w:type="dxa"/>
            <w:vMerge w:val="continue"/>
            <w:tcBorders>
              <w:bottom w:val="single" w:color="auto" w:sz="4" w:space="0"/>
            </w:tcBorders>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992" w:type="dxa"/>
            <w:tcBorders>
              <w:bottom w:val="single" w:color="auto" w:sz="4" w:space="0"/>
            </w:tcBorders>
            <w:noWrap w:val="0"/>
            <w:vAlign w:val="top"/>
          </w:tcPr>
          <w:p>
            <w:pPr>
              <w:widowControl/>
              <w:kinsoku w:val="0"/>
              <w:autoSpaceDE w:val="0"/>
              <w:autoSpaceDN w:val="0"/>
              <w:adjustRightInd w:val="0"/>
              <w:snapToGrid w:val="0"/>
              <w:spacing w:before="174" w:line="271" w:lineRule="exact"/>
              <w:jc w:val="left"/>
              <w:textAlignment w:val="baseline"/>
              <w:rPr>
                <w:rFonts w:ascii="宋体" w:hAnsi="宋体" w:eastAsia="宋体" w:cs="宋体"/>
                <w:snapToGrid w:val="0"/>
                <w:color w:val="000000"/>
                <w:kern w:val="0"/>
                <w:sz w:val="20"/>
                <w:szCs w:val="20"/>
              </w:rPr>
            </w:pPr>
            <w:r>
              <w:rPr>
                <w:rFonts w:hint="eastAsia" w:ascii="宋体" w:hAnsi="宋体" w:cs="宋体"/>
                <w:snapToGrid w:val="0"/>
                <w:color w:val="000000"/>
                <w:spacing w:val="-3"/>
                <w:kern w:val="0"/>
                <w:position w:val="5"/>
                <w:sz w:val="20"/>
                <w:szCs w:val="20"/>
              </w:rPr>
              <w:t>社会效益</w:t>
            </w:r>
          </w:p>
        </w:tc>
        <w:tc>
          <w:tcPr>
            <w:tcW w:w="1701" w:type="dxa"/>
            <w:gridSpan w:val="3"/>
            <w:noWrap w:val="0"/>
            <w:vAlign w:val="top"/>
          </w:tcPr>
          <w:p>
            <w:pPr>
              <w:widowControl/>
              <w:kinsoku w:val="0"/>
              <w:autoSpaceDE w:val="0"/>
              <w:autoSpaceDN w:val="0"/>
              <w:adjustRightInd w:val="0"/>
              <w:snapToGrid w:val="0"/>
              <w:spacing w:line="240" w:lineRule="exact"/>
              <w:jc w:val="left"/>
              <w:textAlignment w:val="baseline"/>
              <w:rPr>
                <w:rFonts w:hint="eastAsia" w:ascii="宋体" w:hAnsi="宋体" w:eastAsia="宋体" w:cs="宋体"/>
                <w:snapToGrid w:val="0"/>
                <w:color w:val="000000"/>
                <w:spacing w:val="-2"/>
                <w:kern w:val="0"/>
                <w:sz w:val="20"/>
                <w:szCs w:val="20"/>
              </w:rPr>
            </w:pPr>
            <w:r>
              <w:rPr>
                <w:rFonts w:hint="eastAsia" w:ascii="宋体" w:hAnsi="宋体" w:eastAsia="宋体" w:cs="宋体"/>
                <w:snapToGrid w:val="0"/>
                <w:color w:val="000000"/>
                <w:spacing w:val="-2"/>
                <w:kern w:val="0"/>
                <w:sz w:val="20"/>
                <w:szCs w:val="20"/>
              </w:rPr>
              <w:t>1.设施农业用地责任人有明确的用地限制和方向</w:t>
            </w:r>
          </w:p>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宋体" w:hAnsi="宋体" w:eastAsia="宋体" w:cs="宋体"/>
                <w:snapToGrid w:val="0"/>
                <w:color w:val="000000"/>
                <w:spacing w:val="-2"/>
                <w:kern w:val="0"/>
                <w:sz w:val="20"/>
                <w:szCs w:val="20"/>
              </w:rPr>
              <w:t>2.有利于设施农业用地市场的健康稳定发展</w:t>
            </w:r>
          </w:p>
        </w:tc>
        <w:tc>
          <w:tcPr>
            <w:tcW w:w="851" w:type="dxa"/>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ascii="仿宋_GB2312" w:hAnsi="宋体" w:eastAsia="仿宋_GB2312" w:cs="仿宋_GB2312"/>
                <w:snapToGrid w:val="0"/>
                <w:color w:val="000000"/>
                <w:kern w:val="0"/>
                <w:sz w:val="24"/>
                <w:szCs w:val="24"/>
                <w:lang w:bidi="ar"/>
              </w:rPr>
              <w:t>≥9</w:t>
            </w:r>
            <w:r>
              <w:rPr>
                <w:rFonts w:hint="eastAsia" w:ascii="仿宋_GB2312" w:hAnsi="宋体" w:eastAsia="仿宋_GB2312" w:cs="仿宋_GB2312"/>
                <w:snapToGrid w:val="0"/>
                <w:color w:val="000000"/>
                <w:kern w:val="0"/>
                <w:sz w:val="24"/>
                <w:szCs w:val="24"/>
                <w:lang w:bidi="ar"/>
              </w:rPr>
              <w:t>0</w:t>
            </w:r>
            <w:r>
              <w:rPr>
                <w:rFonts w:ascii="仿宋_GB2312" w:hAnsi="宋体" w:eastAsia="仿宋_GB2312" w:cs="仿宋_GB2312"/>
                <w:snapToGrid w:val="0"/>
                <w:color w:val="000000"/>
                <w:kern w:val="0"/>
                <w:sz w:val="24"/>
                <w:szCs w:val="24"/>
                <w:lang w:bidi="ar"/>
              </w:rPr>
              <w:t>%</w:t>
            </w:r>
          </w:p>
        </w:tc>
        <w:tc>
          <w:tcPr>
            <w:tcW w:w="1842"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ascii="仿宋_GB2312" w:hAnsi="宋体" w:eastAsia="仿宋_GB2312" w:cs="仿宋_GB2312"/>
                <w:snapToGrid w:val="0"/>
                <w:color w:val="000000"/>
                <w:kern w:val="0"/>
                <w:sz w:val="24"/>
                <w:szCs w:val="24"/>
                <w:lang w:bidi="ar"/>
              </w:rPr>
              <w:t>≥98%</w:t>
            </w:r>
          </w:p>
        </w:tc>
        <w:tc>
          <w:tcPr>
            <w:tcW w:w="851"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12.5</w:t>
            </w:r>
          </w:p>
        </w:tc>
        <w:tc>
          <w:tcPr>
            <w:tcW w:w="567"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12.5</w:t>
            </w:r>
          </w:p>
        </w:tc>
        <w:tc>
          <w:tcPr>
            <w:tcW w:w="1031"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jc w:val="center"/>
        </w:trPr>
        <w:tc>
          <w:tcPr>
            <w:tcW w:w="1074" w:type="dxa"/>
            <w:vMerge w:val="continue"/>
            <w:tcBorders>
              <w:top w:val="single" w:color="auto" w:sz="4" w:space="0"/>
            </w:tcBorders>
            <w:noWrap w:val="0"/>
            <w:textDirection w:val="tbRlV"/>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911" w:type="dxa"/>
            <w:vMerge w:val="continue"/>
            <w:tcBorders>
              <w:top w:val="single" w:color="auto" w:sz="4" w:space="0"/>
            </w:tcBorders>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992" w:type="dxa"/>
            <w:tcBorders>
              <w:top w:val="single" w:color="auto" w:sz="4" w:space="0"/>
            </w:tcBorders>
            <w:noWrap w:val="0"/>
            <w:vAlign w:val="top"/>
          </w:tcPr>
          <w:p>
            <w:pPr>
              <w:widowControl/>
              <w:kinsoku w:val="0"/>
              <w:autoSpaceDE w:val="0"/>
              <w:autoSpaceDN w:val="0"/>
              <w:adjustRightInd w:val="0"/>
              <w:snapToGrid w:val="0"/>
              <w:spacing w:before="197" w:line="222" w:lineRule="auto"/>
              <w:jc w:val="left"/>
              <w:textAlignment w:val="baseline"/>
              <w:rPr>
                <w:rFonts w:ascii="宋体" w:hAnsi="宋体" w:eastAsia="宋体" w:cs="宋体"/>
                <w:snapToGrid w:val="0"/>
                <w:color w:val="000000"/>
                <w:kern w:val="0"/>
                <w:sz w:val="20"/>
                <w:szCs w:val="20"/>
              </w:rPr>
            </w:pPr>
            <w:r>
              <w:rPr>
                <w:rFonts w:hint="eastAsia" w:ascii="宋体" w:hAnsi="宋体" w:cs="宋体"/>
                <w:snapToGrid w:val="0"/>
                <w:color w:val="000000"/>
                <w:spacing w:val="-3"/>
                <w:kern w:val="0"/>
                <w:sz w:val="20"/>
                <w:szCs w:val="20"/>
              </w:rPr>
              <w:t>生态效益</w:t>
            </w:r>
          </w:p>
        </w:tc>
        <w:tc>
          <w:tcPr>
            <w:tcW w:w="1701" w:type="dxa"/>
            <w:gridSpan w:val="3"/>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宋体" w:hAnsi="宋体" w:eastAsia="宋体" w:cs="宋体"/>
                <w:snapToGrid w:val="0"/>
                <w:color w:val="000000"/>
                <w:spacing w:val="-2"/>
                <w:kern w:val="0"/>
                <w:sz w:val="20"/>
                <w:szCs w:val="20"/>
              </w:rPr>
              <w:t>限制了设施农业用地建设规模，防止了土地的浪费</w:t>
            </w:r>
          </w:p>
        </w:tc>
        <w:tc>
          <w:tcPr>
            <w:tcW w:w="851" w:type="dxa"/>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ascii="仿宋_GB2312" w:hAnsi="宋体" w:eastAsia="仿宋_GB2312" w:cs="仿宋_GB2312"/>
                <w:snapToGrid w:val="0"/>
                <w:color w:val="000000"/>
                <w:kern w:val="0"/>
                <w:sz w:val="24"/>
                <w:szCs w:val="24"/>
                <w:lang w:bidi="ar"/>
              </w:rPr>
              <w:t>≥9</w:t>
            </w:r>
            <w:r>
              <w:rPr>
                <w:rFonts w:hint="eastAsia" w:ascii="仿宋_GB2312" w:hAnsi="宋体" w:eastAsia="仿宋_GB2312" w:cs="仿宋_GB2312"/>
                <w:snapToGrid w:val="0"/>
                <w:color w:val="000000"/>
                <w:kern w:val="0"/>
                <w:sz w:val="24"/>
                <w:szCs w:val="24"/>
                <w:lang w:bidi="ar"/>
              </w:rPr>
              <w:t>0</w:t>
            </w:r>
            <w:r>
              <w:rPr>
                <w:rFonts w:ascii="仿宋_GB2312" w:hAnsi="宋体" w:eastAsia="仿宋_GB2312" w:cs="仿宋_GB2312"/>
                <w:snapToGrid w:val="0"/>
                <w:color w:val="000000"/>
                <w:kern w:val="0"/>
                <w:sz w:val="24"/>
                <w:szCs w:val="24"/>
                <w:lang w:bidi="ar"/>
              </w:rPr>
              <w:t>%</w:t>
            </w:r>
          </w:p>
        </w:tc>
        <w:tc>
          <w:tcPr>
            <w:tcW w:w="1842"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ascii="仿宋_GB2312" w:hAnsi="宋体" w:eastAsia="仿宋_GB2312" w:cs="仿宋_GB2312"/>
                <w:snapToGrid w:val="0"/>
                <w:color w:val="000000"/>
                <w:kern w:val="0"/>
                <w:sz w:val="24"/>
                <w:szCs w:val="24"/>
                <w:lang w:bidi="ar"/>
              </w:rPr>
              <w:t>≥98%</w:t>
            </w:r>
          </w:p>
        </w:tc>
        <w:tc>
          <w:tcPr>
            <w:tcW w:w="851"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12.5</w:t>
            </w:r>
          </w:p>
        </w:tc>
        <w:tc>
          <w:tcPr>
            <w:tcW w:w="567"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12.5</w:t>
            </w:r>
          </w:p>
        </w:tc>
        <w:tc>
          <w:tcPr>
            <w:tcW w:w="1031"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jc w:val="center"/>
        </w:trPr>
        <w:tc>
          <w:tcPr>
            <w:tcW w:w="1074" w:type="dxa"/>
            <w:vMerge w:val="continue"/>
            <w:noWrap w:val="0"/>
            <w:textDirection w:val="tbRlV"/>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911" w:type="dxa"/>
            <w:vMerge w:val="continue"/>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992" w:type="dxa"/>
            <w:noWrap w:val="0"/>
            <w:vAlign w:val="top"/>
          </w:tcPr>
          <w:p>
            <w:pPr>
              <w:widowControl/>
              <w:kinsoku w:val="0"/>
              <w:autoSpaceDE w:val="0"/>
              <w:autoSpaceDN w:val="0"/>
              <w:adjustRightInd w:val="0"/>
              <w:snapToGrid w:val="0"/>
              <w:spacing w:before="176"/>
              <w:ind w:left="231" w:right="146" w:hanging="10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可持续影响</w:t>
            </w:r>
          </w:p>
        </w:tc>
        <w:tc>
          <w:tcPr>
            <w:tcW w:w="1701" w:type="dxa"/>
            <w:gridSpan w:val="3"/>
            <w:noWrap w:val="0"/>
            <w:vAlign w:val="center"/>
          </w:tcPr>
          <w:p>
            <w:pPr>
              <w:widowControl/>
              <w:kinsoku w:val="0"/>
              <w:autoSpaceDE w:val="0"/>
              <w:autoSpaceDN w:val="0"/>
              <w:adjustRightInd w:val="0"/>
              <w:snapToGrid w:val="0"/>
              <w:spacing w:line="240" w:lineRule="exact"/>
              <w:jc w:val="left"/>
              <w:textAlignment w:val="baseline"/>
              <w:rPr>
                <w:rFonts w:ascii="Arial" w:hAnsi="Arial" w:eastAsia="仿宋_GB2312" w:cs="Arial"/>
                <w:snapToGrid w:val="0"/>
                <w:color w:val="000000"/>
                <w:kern w:val="0"/>
                <w:sz w:val="24"/>
                <w:szCs w:val="21"/>
              </w:rPr>
            </w:pPr>
            <w:r>
              <w:rPr>
                <w:rFonts w:hint="eastAsia" w:ascii="宋体" w:hAnsi="宋体" w:eastAsia="宋体" w:cs="宋体"/>
                <w:snapToGrid w:val="0"/>
                <w:color w:val="000000"/>
                <w:spacing w:val="-2"/>
                <w:kern w:val="0"/>
                <w:sz w:val="20"/>
                <w:szCs w:val="20"/>
              </w:rPr>
              <w:t>为设施农用地提供了用地规模和限制用地地类提供了依据</w:t>
            </w:r>
          </w:p>
        </w:tc>
        <w:tc>
          <w:tcPr>
            <w:tcW w:w="851" w:type="dxa"/>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ascii="仿宋_GB2312" w:hAnsi="宋体" w:eastAsia="仿宋_GB2312" w:cs="仿宋_GB2312"/>
                <w:snapToGrid w:val="0"/>
                <w:color w:val="000000"/>
                <w:kern w:val="0"/>
                <w:sz w:val="24"/>
                <w:szCs w:val="24"/>
                <w:lang w:bidi="ar"/>
              </w:rPr>
              <w:t>≥9</w:t>
            </w:r>
            <w:r>
              <w:rPr>
                <w:rFonts w:hint="eastAsia" w:ascii="仿宋_GB2312" w:hAnsi="宋体" w:eastAsia="仿宋_GB2312" w:cs="仿宋_GB2312"/>
                <w:snapToGrid w:val="0"/>
                <w:color w:val="000000"/>
                <w:kern w:val="0"/>
                <w:sz w:val="24"/>
                <w:szCs w:val="24"/>
                <w:lang w:bidi="ar"/>
              </w:rPr>
              <w:t>8</w:t>
            </w:r>
            <w:r>
              <w:rPr>
                <w:rFonts w:ascii="仿宋_GB2312" w:hAnsi="宋体" w:eastAsia="仿宋_GB2312" w:cs="仿宋_GB2312"/>
                <w:snapToGrid w:val="0"/>
                <w:color w:val="000000"/>
                <w:kern w:val="0"/>
                <w:sz w:val="24"/>
                <w:szCs w:val="24"/>
                <w:lang w:bidi="ar"/>
              </w:rPr>
              <w:t>%</w:t>
            </w:r>
          </w:p>
        </w:tc>
        <w:tc>
          <w:tcPr>
            <w:tcW w:w="1842"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ascii="仿宋_GB2312" w:hAnsi="宋体" w:eastAsia="仿宋_GB2312" w:cs="仿宋_GB2312"/>
                <w:snapToGrid w:val="0"/>
                <w:color w:val="000000"/>
                <w:kern w:val="0"/>
                <w:sz w:val="24"/>
                <w:szCs w:val="24"/>
                <w:lang w:bidi="ar"/>
              </w:rPr>
              <w:t>≥9</w:t>
            </w:r>
            <w:r>
              <w:rPr>
                <w:rFonts w:hint="eastAsia" w:ascii="仿宋_GB2312" w:hAnsi="宋体" w:eastAsia="仿宋_GB2312" w:cs="仿宋_GB2312"/>
                <w:snapToGrid w:val="0"/>
                <w:color w:val="000000"/>
                <w:kern w:val="0"/>
                <w:sz w:val="24"/>
                <w:szCs w:val="24"/>
                <w:lang w:bidi="ar"/>
              </w:rPr>
              <w:t>0</w:t>
            </w:r>
            <w:r>
              <w:rPr>
                <w:rFonts w:ascii="仿宋_GB2312" w:hAnsi="宋体" w:eastAsia="仿宋_GB2312" w:cs="仿宋_GB2312"/>
                <w:snapToGrid w:val="0"/>
                <w:color w:val="000000"/>
                <w:kern w:val="0"/>
                <w:sz w:val="24"/>
                <w:szCs w:val="24"/>
                <w:lang w:bidi="ar"/>
              </w:rPr>
              <w:t>%</w:t>
            </w:r>
          </w:p>
        </w:tc>
        <w:tc>
          <w:tcPr>
            <w:tcW w:w="851"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12.5</w:t>
            </w:r>
          </w:p>
        </w:tc>
        <w:tc>
          <w:tcPr>
            <w:tcW w:w="567"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10.5</w:t>
            </w:r>
          </w:p>
        </w:tc>
        <w:tc>
          <w:tcPr>
            <w:tcW w:w="1031"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有待改进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jc w:val="center"/>
        </w:trPr>
        <w:tc>
          <w:tcPr>
            <w:tcW w:w="1074" w:type="dxa"/>
            <w:vMerge w:val="continue"/>
            <w:noWrap w:val="0"/>
            <w:textDirection w:val="tbRlV"/>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911" w:type="dxa"/>
            <w:noWrap w:val="0"/>
            <w:vAlign w:val="top"/>
          </w:tcPr>
          <w:p>
            <w:pPr>
              <w:widowControl/>
              <w:kinsoku w:val="0"/>
              <w:autoSpaceDE w:val="0"/>
              <w:autoSpaceDN w:val="0"/>
              <w:adjustRightInd w:val="0"/>
              <w:snapToGrid w:val="0"/>
              <w:spacing w:before="67" w:line="219" w:lineRule="auto"/>
              <w:ind w:left="221"/>
              <w:jc w:val="left"/>
              <w:textAlignment w:val="baseline"/>
              <w:rPr>
                <w:rFonts w:ascii="宋体" w:hAnsi="宋体" w:eastAsia="宋体" w:cs="宋体"/>
                <w:snapToGrid w:val="0"/>
                <w:color w:val="000000"/>
                <w:kern w:val="0"/>
                <w:sz w:val="20"/>
                <w:szCs w:val="20"/>
              </w:rPr>
            </w:pPr>
            <w:r>
              <w:rPr>
                <w:rFonts w:hint="eastAsia" w:ascii="宋体" w:hAnsi="宋体" w:cs="宋体"/>
                <w:snapToGrid w:val="0"/>
                <w:color w:val="000000"/>
                <w:spacing w:val="-2"/>
                <w:kern w:val="0"/>
                <w:sz w:val="20"/>
                <w:szCs w:val="20"/>
              </w:rPr>
              <w:t>满意度</w:t>
            </w:r>
          </w:p>
          <w:p>
            <w:pPr>
              <w:widowControl/>
              <w:kinsoku w:val="0"/>
              <w:autoSpaceDE w:val="0"/>
              <w:autoSpaceDN w:val="0"/>
              <w:adjustRightInd w:val="0"/>
              <w:snapToGrid w:val="0"/>
              <w:spacing w:before="13" w:line="220" w:lineRule="auto"/>
              <w:ind w:left="321"/>
              <w:jc w:val="left"/>
              <w:textAlignment w:val="baseline"/>
              <w:rPr>
                <w:rFonts w:ascii="宋体" w:hAnsi="宋体" w:eastAsia="宋体" w:cs="宋体"/>
                <w:snapToGrid w:val="0"/>
                <w:color w:val="000000"/>
                <w:kern w:val="0"/>
                <w:sz w:val="20"/>
                <w:szCs w:val="20"/>
              </w:rPr>
            </w:pPr>
            <w:r>
              <w:rPr>
                <w:rFonts w:hint="eastAsia" w:ascii="宋体" w:hAnsi="宋体" w:cs="宋体"/>
                <w:snapToGrid w:val="0"/>
                <w:color w:val="000000"/>
                <w:spacing w:val="-3"/>
                <w:kern w:val="0"/>
                <w:sz w:val="20"/>
                <w:szCs w:val="20"/>
              </w:rPr>
              <w:t>指标</w:t>
            </w:r>
          </w:p>
          <w:p>
            <w:pPr>
              <w:widowControl/>
              <w:kinsoku w:val="0"/>
              <w:autoSpaceDE w:val="0"/>
              <w:autoSpaceDN w:val="0"/>
              <w:adjustRightInd w:val="0"/>
              <w:snapToGrid w:val="0"/>
              <w:spacing w:before="31" w:line="186" w:lineRule="auto"/>
              <w:ind w:left="221"/>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8"/>
                <w:kern w:val="0"/>
                <w:sz w:val="20"/>
                <w:szCs w:val="20"/>
              </w:rPr>
              <w:t>(10</w:t>
            </w:r>
            <w:r>
              <w:rPr>
                <w:rFonts w:hint="eastAsia" w:ascii="宋体" w:hAnsi="宋体" w:cs="宋体"/>
                <w:snapToGrid w:val="0"/>
                <w:color w:val="000000"/>
                <w:spacing w:val="8"/>
                <w:kern w:val="0"/>
                <w:sz w:val="20"/>
                <w:szCs w:val="20"/>
              </w:rPr>
              <w:t>分</w:t>
            </w:r>
            <w:r>
              <w:rPr>
                <w:rFonts w:ascii="宋体" w:hAnsi="宋体" w:eastAsia="宋体" w:cs="宋体"/>
                <w:snapToGrid w:val="0"/>
                <w:color w:val="000000"/>
                <w:spacing w:val="8"/>
                <w:kern w:val="0"/>
                <w:sz w:val="20"/>
                <w:szCs w:val="20"/>
              </w:rPr>
              <w:t>)</w:t>
            </w:r>
          </w:p>
        </w:tc>
        <w:tc>
          <w:tcPr>
            <w:tcW w:w="992" w:type="dxa"/>
            <w:noWrap w:val="0"/>
            <w:vAlign w:val="top"/>
          </w:tcPr>
          <w:p>
            <w:pPr>
              <w:widowControl/>
              <w:kinsoku w:val="0"/>
              <w:autoSpaceDE w:val="0"/>
              <w:autoSpaceDN w:val="0"/>
              <w:adjustRightInd w:val="0"/>
              <w:snapToGrid w:val="0"/>
              <w:spacing w:before="57" w:line="219" w:lineRule="auto"/>
              <w:ind w:left="131"/>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服务对象满意度</w:t>
            </w:r>
          </w:p>
        </w:tc>
        <w:tc>
          <w:tcPr>
            <w:tcW w:w="1701" w:type="dxa"/>
            <w:gridSpan w:val="3"/>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服务对象满意度</w:t>
            </w:r>
          </w:p>
        </w:tc>
        <w:tc>
          <w:tcPr>
            <w:tcW w:w="851" w:type="dxa"/>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仿宋_GB2312" w:hAnsi="仿宋_GB2312" w:eastAsia="仿宋_GB2312" w:cs="仿宋_GB2312"/>
                <w:snapToGrid w:val="0"/>
                <w:color w:val="000000"/>
                <w:kern w:val="0"/>
                <w:szCs w:val="21"/>
              </w:rPr>
              <w:t>≥95%</w:t>
            </w:r>
          </w:p>
        </w:tc>
        <w:tc>
          <w:tcPr>
            <w:tcW w:w="1842"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90%</w:t>
            </w:r>
          </w:p>
        </w:tc>
        <w:tc>
          <w:tcPr>
            <w:tcW w:w="851"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12.5</w:t>
            </w:r>
          </w:p>
        </w:tc>
        <w:tc>
          <w:tcPr>
            <w:tcW w:w="567"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10.5</w:t>
            </w:r>
          </w:p>
        </w:tc>
        <w:tc>
          <w:tcPr>
            <w:tcW w:w="1031"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有待提升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jc w:val="center"/>
        </w:trPr>
        <w:tc>
          <w:tcPr>
            <w:tcW w:w="7371" w:type="dxa"/>
            <w:gridSpan w:val="9"/>
            <w:noWrap w:val="0"/>
            <w:vAlign w:val="top"/>
          </w:tcPr>
          <w:p>
            <w:pPr>
              <w:widowControl/>
              <w:kinsoku w:val="0"/>
              <w:autoSpaceDE w:val="0"/>
              <w:autoSpaceDN w:val="0"/>
              <w:adjustRightInd w:val="0"/>
              <w:snapToGrid w:val="0"/>
              <w:spacing w:before="48" w:line="200" w:lineRule="auto"/>
              <w:ind w:left="3145"/>
              <w:jc w:val="left"/>
              <w:textAlignment w:val="baseline"/>
              <w:rPr>
                <w:rFonts w:ascii="宋体" w:hAnsi="宋体" w:eastAsia="宋体" w:cs="宋体"/>
                <w:snapToGrid w:val="0"/>
                <w:color w:val="000000"/>
                <w:kern w:val="0"/>
                <w:sz w:val="20"/>
                <w:szCs w:val="20"/>
              </w:rPr>
            </w:pPr>
            <w:r>
              <w:rPr>
                <w:rFonts w:hint="eastAsia" w:ascii="宋体" w:hAnsi="宋体" w:cs="宋体"/>
                <w:snapToGrid w:val="0"/>
                <w:color w:val="000000"/>
                <w:spacing w:val="4"/>
                <w:kern w:val="0"/>
                <w:sz w:val="20"/>
                <w:szCs w:val="20"/>
              </w:rPr>
              <w:t>总分</w:t>
            </w:r>
          </w:p>
        </w:tc>
        <w:tc>
          <w:tcPr>
            <w:tcW w:w="851" w:type="dxa"/>
            <w:gridSpan w:val="2"/>
            <w:noWrap w:val="0"/>
            <w:vAlign w:val="top"/>
          </w:tcPr>
          <w:p>
            <w:pPr>
              <w:widowControl/>
              <w:kinsoku w:val="0"/>
              <w:autoSpaceDE w:val="0"/>
              <w:autoSpaceDN w:val="0"/>
              <w:adjustRightInd w:val="0"/>
              <w:snapToGrid w:val="0"/>
              <w:spacing w:before="118" w:line="146" w:lineRule="exact"/>
              <w:ind w:left="256"/>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6"/>
                <w:kern w:val="0"/>
                <w:position w:val="-3"/>
                <w:sz w:val="20"/>
                <w:szCs w:val="20"/>
              </w:rPr>
              <w:t>100</w:t>
            </w:r>
          </w:p>
        </w:tc>
        <w:tc>
          <w:tcPr>
            <w:tcW w:w="567"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96</w:t>
            </w:r>
          </w:p>
        </w:tc>
        <w:tc>
          <w:tcPr>
            <w:tcW w:w="1031"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r>
    </w:tbl>
    <w:p>
      <w:pPr>
        <w:widowControl/>
        <w:kinsoku w:val="0"/>
        <w:autoSpaceDE w:val="0"/>
        <w:autoSpaceDN w:val="0"/>
        <w:adjustRightInd w:val="0"/>
        <w:snapToGrid w:val="0"/>
        <w:spacing w:line="405" w:lineRule="auto"/>
        <w:jc w:val="left"/>
        <w:textAlignment w:val="baseline"/>
        <w:rPr>
          <w:rFonts w:ascii="Arial" w:hAnsi="Arial" w:cs="Arial"/>
          <w:snapToGrid w:val="0"/>
          <w:color w:val="000000"/>
          <w:kern w:val="0"/>
          <w:szCs w:val="21"/>
        </w:rPr>
      </w:pPr>
    </w:p>
    <w:p>
      <w:pPr>
        <w:jc w:val="center"/>
        <w:rPr>
          <w:rFonts w:ascii="仿宋" w:hAnsi="仿宋" w:eastAsia="仿宋" w:cs="仿宋"/>
          <w:snapToGrid w:val="0"/>
          <w:color w:val="000000"/>
          <w:spacing w:val="-23"/>
          <w:kern w:val="0"/>
          <w:sz w:val="22"/>
          <w:szCs w:val="22"/>
        </w:rPr>
      </w:pPr>
      <w:r>
        <w:rPr>
          <w:rFonts w:ascii="仿宋" w:hAnsi="仿宋" w:eastAsia="仿宋" w:cs="仿宋"/>
          <w:snapToGrid w:val="0"/>
          <w:color w:val="000000"/>
          <w:spacing w:val="-23"/>
          <w:kern w:val="0"/>
          <w:sz w:val="22"/>
          <w:szCs w:val="22"/>
        </w:rPr>
        <w:t>填表人：</w:t>
      </w:r>
      <w:r>
        <w:rPr>
          <w:rFonts w:hint="eastAsia" w:ascii="仿宋" w:hAnsi="仿宋" w:cs="仿宋"/>
          <w:snapToGrid w:val="0"/>
          <w:color w:val="000000"/>
          <w:spacing w:val="-23"/>
          <w:kern w:val="0"/>
          <w:sz w:val="22"/>
          <w:szCs w:val="22"/>
        </w:rPr>
        <w:t xml:space="preserve">                        </w:t>
      </w:r>
      <w:r>
        <w:rPr>
          <w:rFonts w:ascii="仿宋" w:hAnsi="仿宋" w:eastAsia="仿宋" w:cs="仿宋"/>
          <w:snapToGrid w:val="0"/>
          <w:color w:val="000000"/>
          <w:spacing w:val="-23"/>
          <w:kern w:val="0"/>
          <w:sz w:val="22"/>
          <w:szCs w:val="22"/>
        </w:rPr>
        <w:t>填报日期：</w:t>
      </w:r>
      <w:r>
        <w:rPr>
          <w:rFonts w:hint="eastAsia" w:ascii="仿宋" w:hAnsi="仿宋" w:cs="仿宋"/>
          <w:snapToGrid w:val="0"/>
          <w:color w:val="000000"/>
          <w:spacing w:val="-23"/>
          <w:kern w:val="0"/>
          <w:sz w:val="22"/>
          <w:szCs w:val="22"/>
        </w:rPr>
        <w:t xml:space="preserve">                      </w:t>
      </w:r>
      <w:r>
        <w:rPr>
          <w:rFonts w:ascii="仿宋" w:hAnsi="仿宋" w:eastAsia="仿宋" w:cs="仿宋"/>
          <w:snapToGrid w:val="0"/>
          <w:color w:val="000000"/>
          <w:spacing w:val="-23"/>
          <w:kern w:val="0"/>
          <w:sz w:val="22"/>
          <w:szCs w:val="22"/>
        </w:rPr>
        <w:t>联系电话：</w:t>
      </w:r>
      <w:r>
        <w:rPr>
          <w:rFonts w:hint="eastAsia" w:ascii="仿宋" w:hAnsi="仿宋" w:cs="仿宋"/>
          <w:snapToGrid w:val="0"/>
          <w:color w:val="000000"/>
          <w:spacing w:val="-23"/>
          <w:kern w:val="0"/>
          <w:sz w:val="22"/>
          <w:szCs w:val="22"/>
        </w:rPr>
        <w:t xml:space="preserve">               </w:t>
      </w:r>
      <w:r>
        <w:rPr>
          <w:rFonts w:ascii="仿宋" w:hAnsi="仿宋" w:eastAsia="仿宋" w:cs="仿宋"/>
          <w:snapToGrid w:val="0"/>
          <w:color w:val="000000"/>
          <w:spacing w:val="-23"/>
          <w:kern w:val="0"/>
          <w:sz w:val="22"/>
          <w:szCs w:val="22"/>
        </w:rPr>
        <w:t>单位负责人签字：</w:t>
      </w:r>
    </w:p>
    <w:p>
      <w:pPr>
        <w:rPr>
          <w:rFonts w:ascii="仿宋" w:hAnsi="仿宋" w:eastAsia="仿宋" w:cs="仿宋"/>
          <w:snapToGrid w:val="0"/>
          <w:color w:val="000000"/>
          <w:spacing w:val="-23"/>
          <w:kern w:val="0"/>
          <w:sz w:val="22"/>
          <w:szCs w:val="22"/>
        </w:rPr>
      </w:pPr>
      <w:r>
        <w:rPr>
          <w:rFonts w:ascii="仿宋" w:hAnsi="仿宋" w:eastAsia="仿宋" w:cs="仿宋"/>
          <w:snapToGrid w:val="0"/>
          <w:color w:val="000000"/>
          <w:spacing w:val="-23"/>
          <w:kern w:val="0"/>
          <w:sz w:val="22"/>
          <w:szCs w:val="22"/>
        </w:rPr>
        <w:br w:type="page"/>
      </w:r>
    </w:p>
    <w:p>
      <w:pPr>
        <w:widowControl/>
        <w:kinsoku w:val="0"/>
        <w:autoSpaceDE w:val="0"/>
        <w:autoSpaceDN w:val="0"/>
        <w:adjustRightInd w:val="0"/>
        <w:snapToGrid w:val="0"/>
        <w:spacing w:before="271" w:line="224" w:lineRule="auto"/>
        <w:ind w:left="689"/>
        <w:jc w:val="left"/>
        <w:textAlignment w:val="baseline"/>
        <w:rPr>
          <w:rFonts w:ascii="宋体" w:hAnsi="宋体" w:eastAsia="宋体" w:cs="宋体"/>
          <w:b/>
          <w:bCs/>
          <w:snapToGrid w:val="0"/>
          <w:color w:val="000000"/>
          <w:spacing w:val="-4"/>
          <w:kern w:val="0"/>
          <w:sz w:val="37"/>
          <w:szCs w:val="37"/>
        </w:rPr>
      </w:pPr>
      <w:r>
        <w:rPr>
          <w:rFonts w:ascii="黑体" w:hAnsi="黑体" w:eastAsia="黑体" w:cs="黑体"/>
          <w:b/>
          <w:bCs/>
          <w:snapToGrid w:val="0"/>
          <w:color w:val="000000"/>
          <w:spacing w:val="3"/>
          <w:kern w:val="0"/>
          <w:sz w:val="34"/>
          <w:szCs w:val="34"/>
        </w:rPr>
        <w:t>附件</w:t>
      </w:r>
      <w:r>
        <w:rPr>
          <w:rFonts w:hint="eastAsia" w:ascii="黑体" w:hAnsi="黑体" w:eastAsia="黑体" w:cs="黑体"/>
          <w:b/>
          <w:bCs/>
          <w:snapToGrid w:val="0"/>
          <w:color w:val="000000"/>
          <w:spacing w:val="3"/>
          <w:kern w:val="0"/>
          <w:sz w:val="34"/>
          <w:szCs w:val="34"/>
          <w:lang w:val="en-US" w:eastAsia="zh-CN"/>
        </w:rPr>
        <w:t>4</w:t>
      </w:r>
    </w:p>
    <w:p>
      <w:pPr>
        <w:widowControl/>
        <w:kinsoku w:val="0"/>
        <w:autoSpaceDE w:val="0"/>
        <w:autoSpaceDN w:val="0"/>
        <w:adjustRightInd w:val="0"/>
        <w:snapToGrid w:val="0"/>
        <w:spacing w:before="173" w:line="212" w:lineRule="auto"/>
        <w:jc w:val="center"/>
        <w:textAlignment w:val="baseline"/>
        <w:rPr>
          <w:rFonts w:ascii="宋体" w:hAnsi="宋体" w:eastAsia="宋体" w:cs="宋体"/>
          <w:snapToGrid w:val="0"/>
          <w:color w:val="000000"/>
          <w:kern w:val="0"/>
          <w:sz w:val="37"/>
          <w:szCs w:val="37"/>
        </w:rPr>
      </w:pPr>
      <w:r>
        <w:rPr>
          <w:rFonts w:ascii="宋体" w:hAnsi="宋体" w:eastAsia="宋体" w:cs="宋体"/>
          <w:b/>
          <w:bCs/>
          <w:snapToGrid w:val="0"/>
          <w:color w:val="000000"/>
          <w:spacing w:val="-4"/>
          <w:kern w:val="0"/>
          <w:sz w:val="37"/>
          <w:szCs w:val="37"/>
        </w:rPr>
        <w:t>2022年度项目支出绩效自评表</w:t>
      </w:r>
    </w:p>
    <w:tbl>
      <w:tblPr>
        <w:tblStyle w:val="8"/>
        <w:tblW w:w="98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992"/>
        <w:gridCol w:w="992"/>
        <w:gridCol w:w="245"/>
        <w:gridCol w:w="1219"/>
        <w:gridCol w:w="379"/>
        <w:gridCol w:w="992"/>
        <w:gridCol w:w="1134"/>
        <w:gridCol w:w="425"/>
        <w:gridCol w:w="284"/>
        <w:gridCol w:w="567"/>
        <w:gridCol w:w="185"/>
        <w:gridCol w:w="382"/>
        <w:gridCol w:w="10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993" w:type="dxa"/>
            <w:shd w:val="clear" w:color="auto" w:fill="auto"/>
            <w:noWrap w:val="0"/>
            <w:vAlign w:val="top"/>
          </w:tcPr>
          <w:p>
            <w:pPr>
              <w:widowControl/>
              <w:kinsoku w:val="0"/>
              <w:autoSpaceDE w:val="0"/>
              <w:autoSpaceDN w:val="0"/>
              <w:adjustRightInd w:val="0"/>
              <w:snapToGrid w:val="0"/>
              <w:spacing w:before="63" w:line="223" w:lineRule="auto"/>
              <w:ind w:left="225"/>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项目支</w:t>
            </w:r>
          </w:p>
          <w:p>
            <w:pPr>
              <w:widowControl/>
              <w:kinsoku w:val="0"/>
              <w:autoSpaceDE w:val="0"/>
              <w:autoSpaceDN w:val="0"/>
              <w:adjustRightInd w:val="0"/>
              <w:snapToGrid w:val="0"/>
              <w:spacing w:line="201" w:lineRule="auto"/>
              <w:ind w:left="225"/>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出名称</w:t>
            </w:r>
          </w:p>
        </w:tc>
        <w:tc>
          <w:tcPr>
            <w:tcW w:w="8827" w:type="dxa"/>
            <w:gridSpan w:val="13"/>
            <w:shd w:val="clear" w:color="auto" w:fill="auto"/>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岳阳市国土空间规划“三区三线”统筹划定项目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993" w:type="dxa"/>
            <w:noWrap w:val="0"/>
            <w:vAlign w:val="top"/>
          </w:tcPr>
          <w:p>
            <w:pPr>
              <w:widowControl/>
              <w:kinsoku w:val="0"/>
              <w:autoSpaceDE w:val="0"/>
              <w:autoSpaceDN w:val="0"/>
              <w:adjustRightInd w:val="0"/>
              <w:snapToGrid w:val="0"/>
              <w:spacing w:before="39" w:line="213" w:lineRule="auto"/>
              <w:ind w:left="125"/>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5"/>
                <w:kern w:val="0"/>
                <w:sz w:val="20"/>
                <w:szCs w:val="20"/>
              </w:rPr>
              <w:t>主管部门</w:t>
            </w:r>
          </w:p>
        </w:tc>
        <w:tc>
          <w:tcPr>
            <w:tcW w:w="4819" w:type="dxa"/>
            <w:gridSpan w:val="6"/>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岳阳市自然资源和规划局</w:t>
            </w:r>
          </w:p>
        </w:tc>
        <w:tc>
          <w:tcPr>
            <w:tcW w:w="1134" w:type="dxa"/>
            <w:noWrap w:val="0"/>
            <w:vAlign w:val="top"/>
          </w:tcPr>
          <w:p>
            <w:pPr>
              <w:widowControl/>
              <w:kinsoku w:val="0"/>
              <w:autoSpaceDE w:val="0"/>
              <w:autoSpaceDN w:val="0"/>
              <w:adjustRightInd w:val="0"/>
              <w:snapToGrid w:val="0"/>
              <w:spacing w:before="40" w:line="212" w:lineRule="auto"/>
              <w:ind w:left="155"/>
              <w:jc w:val="left"/>
              <w:textAlignment w:val="baseline"/>
              <w:rPr>
                <w:rFonts w:ascii="Arial" w:hAnsi="Arial" w:cs="Arial"/>
                <w:snapToGrid w:val="0"/>
                <w:color w:val="000000"/>
                <w:kern w:val="0"/>
                <w:szCs w:val="21"/>
              </w:rPr>
            </w:pPr>
            <w:r>
              <w:rPr>
                <w:rFonts w:ascii="Arial" w:hAnsi="Arial" w:cs="Arial"/>
                <w:snapToGrid w:val="0"/>
                <w:color w:val="000000"/>
                <w:kern w:val="0"/>
                <w:szCs w:val="21"/>
              </w:rPr>
              <w:t>实施单位</w:t>
            </w:r>
          </w:p>
        </w:tc>
        <w:tc>
          <w:tcPr>
            <w:tcW w:w="2874" w:type="dxa"/>
            <w:gridSpan w:val="6"/>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市自然资源和规划局规划一科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993" w:type="dxa"/>
            <w:vMerge w:val="restart"/>
            <w:noWrap w:val="0"/>
            <w:vAlign w:val="top"/>
          </w:tcPr>
          <w:p>
            <w:pPr>
              <w:widowControl/>
              <w:kinsoku w:val="0"/>
              <w:autoSpaceDE w:val="0"/>
              <w:autoSpaceDN w:val="0"/>
              <w:adjustRightInd w:val="0"/>
              <w:snapToGrid w:val="0"/>
              <w:spacing w:line="250" w:lineRule="auto"/>
              <w:jc w:val="left"/>
              <w:textAlignment w:val="baseline"/>
              <w:rPr>
                <w:rFonts w:ascii="Arial" w:hAnsi="Arial" w:cs="Arial"/>
                <w:snapToGrid w:val="0"/>
                <w:color w:val="000000"/>
                <w:kern w:val="0"/>
                <w:szCs w:val="21"/>
              </w:rPr>
            </w:pPr>
          </w:p>
          <w:p>
            <w:pPr>
              <w:widowControl/>
              <w:kinsoku w:val="0"/>
              <w:autoSpaceDE w:val="0"/>
              <w:autoSpaceDN w:val="0"/>
              <w:adjustRightInd w:val="0"/>
              <w:snapToGrid w:val="0"/>
              <w:spacing w:line="251" w:lineRule="auto"/>
              <w:jc w:val="left"/>
              <w:textAlignment w:val="baseline"/>
              <w:rPr>
                <w:rFonts w:ascii="Arial" w:hAnsi="Arial" w:cs="Arial"/>
                <w:snapToGrid w:val="0"/>
                <w:color w:val="000000"/>
                <w:kern w:val="0"/>
                <w:szCs w:val="21"/>
              </w:rPr>
            </w:pPr>
          </w:p>
          <w:p>
            <w:pPr>
              <w:widowControl/>
              <w:kinsoku w:val="0"/>
              <w:autoSpaceDE w:val="0"/>
              <w:autoSpaceDN w:val="0"/>
              <w:adjustRightInd w:val="0"/>
              <w:snapToGrid w:val="0"/>
              <w:spacing w:before="65" w:line="220" w:lineRule="auto"/>
              <w:ind w:left="125"/>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项目资金</w:t>
            </w:r>
          </w:p>
          <w:p>
            <w:pPr>
              <w:widowControl/>
              <w:kinsoku w:val="0"/>
              <w:autoSpaceDE w:val="0"/>
              <w:autoSpaceDN w:val="0"/>
              <w:adjustRightInd w:val="0"/>
              <w:snapToGrid w:val="0"/>
              <w:spacing w:before="31" w:line="220" w:lineRule="auto"/>
              <w:ind w:left="225"/>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10"/>
                <w:kern w:val="0"/>
                <w:sz w:val="20"/>
                <w:szCs w:val="20"/>
              </w:rPr>
              <w:t>(万元)</w:t>
            </w:r>
          </w:p>
        </w:tc>
        <w:tc>
          <w:tcPr>
            <w:tcW w:w="2229" w:type="dxa"/>
            <w:gridSpan w:val="3"/>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219" w:type="dxa"/>
            <w:noWrap w:val="0"/>
            <w:vAlign w:val="top"/>
          </w:tcPr>
          <w:p>
            <w:pPr>
              <w:widowControl/>
              <w:kinsoku w:val="0"/>
              <w:autoSpaceDE w:val="0"/>
              <w:autoSpaceDN w:val="0"/>
              <w:adjustRightInd w:val="0"/>
              <w:snapToGrid w:val="0"/>
              <w:spacing w:before="29"/>
              <w:ind w:left="403"/>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年初</w:t>
            </w:r>
          </w:p>
          <w:p>
            <w:pPr>
              <w:widowControl/>
              <w:kinsoku w:val="0"/>
              <w:autoSpaceDE w:val="0"/>
              <w:autoSpaceDN w:val="0"/>
              <w:adjustRightInd w:val="0"/>
              <w:snapToGrid w:val="0"/>
              <w:spacing w:line="212" w:lineRule="auto"/>
              <w:ind w:left="303"/>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预算数</w:t>
            </w:r>
          </w:p>
        </w:tc>
        <w:tc>
          <w:tcPr>
            <w:tcW w:w="1371" w:type="dxa"/>
            <w:gridSpan w:val="2"/>
            <w:noWrap w:val="0"/>
            <w:vAlign w:val="top"/>
          </w:tcPr>
          <w:p>
            <w:pPr>
              <w:widowControl/>
              <w:kinsoku w:val="0"/>
              <w:autoSpaceDE w:val="0"/>
              <w:autoSpaceDN w:val="0"/>
              <w:adjustRightInd w:val="0"/>
              <w:snapToGrid w:val="0"/>
              <w:spacing w:before="38" w:line="231" w:lineRule="auto"/>
              <w:ind w:left="364"/>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全年</w:t>
            </w:r>
          </w:p>
          <w:p>
            <w:pPr>
              <w:widowControl/>
              <w:kinsoku w:val="0"/>
              <w:autoSpaceDE w:val="0"/>
              <w:autoSpaceDN w:val="0"/>
              <w:adjustRightInd w:val="0"/>
              <w:snapToGrid w:val="0"/>
              <w:spacing w:line="212" w:lineRule="auto"/>
              <w:ind w:left="264"/>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预算数</w:t>
            </w:r>
          </w:p>
        </w:tc>
        <w:tc>
          <w:tcPr>
            <w:tcW w:w="1134" w:type="dxa"/>
            <w:noWrap w:val="0"/>
            <w:vAlign w:val="top"/>
          </w:tcPr>
          <w:p>
            <w:pPr>
              <w:widowControl/>
              <w:kinsoku w:val="0"/>
              <w:autoSpaceDE w:val="0"/>
              <w:autoSpaceDN w:val="0"/>
              <w:adjustRightInd w:val="0"/>
              <w:snapToGrid w:val="0"/>
              <w:spacing w:before="49"/>
              <w:ind w:left="354"/>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全年</w:t>
            </w:r>
          </w:p>
          <w:p>
            <w:pPr>
              <w:widowControl/>
              <w:kinsoku w:val="0"/>
              <w:autoSpaceDE w:val="0"/>
              <w:autoSpaceDN w:val="0"/>
              <w:adjustRightInd w:val="0"/>
              <w:snapToGrid w:val="0"/>
              <w:spacing w:line="193" w:lineRule="auto"/>
              <w:ind w:left="255"/>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执行数</w:t>
            </w:r>
          </w:p>
        </w:tc>
        <w:tc>
          <w:tcPr>
            <w:tcW w:w="709" w:type="dxa"/>
            <w:gridSpan w:val="2"/>
            <w:noWrap w:val="0"/>
            <w:vAlign w:val="top"/>
          </w:tcPr>
          <w:p>
            <w:pPr>
              <w:widowControl/>
              <w:kinsoku w:val="0"/>
              <w:autoSpaceDE w:val="0"/>
              <w:autoSpaceDN w:val="0"/>
              <w:adjustRightInd w:val="0"/>
              <w:snapToGrid w:val="0"/>
              <w:spacing w:before="159" w:line="219" w:lineRule="auto"/>
              <w:ind w:left="206"/>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分值</w:t>
            </w:r>
          </w:p>
        </w:tc>
        <w:tc>
          <w:tcPr>
            <w:tcW w:w="752" w:type="dxa"/>
            <w:gridSpan w:val="2"/>
            <w:noWrap w:val="0"/>
            <w:vAlign w:val="top"/>
          </w:tcPr>
          <w:p>
            <w:pPr>
              <w:widowControl/>
              <w:kinsoku w:val="0"/>
              <w:autoSpaceDE w:val="0"/>
              <w:autoSpaceDN w:val="0"/>
              <w:adjustRightInd w:val="0"/>
              <w:snapToGrid w:val="0"/>
              <w:spacing w:before="159" w:line="219" w:lineRule="auto"/>
              <w:ind w:left="127"/>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执行率</w:t>
            </w:r>
          </w:p>
        </w:tc>
        <w:tc>
          <w:tcPr>
            <w:tcW w:w="1413" w:type="dxa"/>
            <w:gridSpan w:val="2"/>
            <w:noWrap w:val="0"/>
            <w:vAlign w:val="top"/>
          </w:tcPr>
          <w:p>
            <w:pPr>
              <w:widowControl/>
              <w:kinsoku w:val="0"/>
              <w:autoSpaceDE w:val="0"/>
              <w:autoSpaceDN w:val="0"/>
              <w:adjustRightInd w:val="0"/>
              <w:snapToGrid w:val="0"/>
              <w:spacing w:before="159" w:line="219" w:lineRule="auto"/>
              <w:ind w:left="498"/>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993" w:type="dxa"/>
            <w:vMerge w:val="continue"/>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2229" w:type="dxa"/>
            <w:gridSpan w:val="3"/>
            <w:noWrap w:val="0"/>
            <w:vAlign w:val="top"/>
          </w:tcPr>
          <w:p>
            <w:pPr>
              <w:widowControl/>
              <w:kinsoku w:val="0"/>
              <w:autoSpaceDE w:val="0"/>
              <w:autoSpaceDN w:val="0"/>
              <w:adjustRightInd w:val="0"/>
              <w:snapToGrid w:val="0"/>
              <w:spacing w:before="40" w:line="212" w:lineRule="auto"/>
              <w:ind w:left="10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年度资金总额</w:t>
            </w:r>
          </w:p>
        </w:tc>
        <w:tc>
          <w:tcPr>
            <w:tcW w:w="1219"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300</w:t>
            </w:r>
          </w:p>
        </w:tc>
        <w:tc>
          <w:tcPr>
            <w:tcW w:w="1371"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ascii="Arial" w:hAnsi="Arial" w:cs="Arial"/>
                <w:snapToGrid w:val="0"/>
                <w:color w:val="000000"/>
                <w:kern w:val="0"/>
                <w:szCs w:val="21"/>
              </w:rPr>
              <w:t>172.58</w:t>
            </w:r>
          </w:p>
        </w:tc>
        <w:tc>
          <w:tcPr>
            <w:tcW w:w="1134"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ascii="Arial" w:hAnsi="Arial" w:cs="Arial"/>
                <w:snapToGrid w:val="0"/>
                <w:color w:val="000000"/>
                <w:kern w:val="0"/>
                <w:szCs w:val="21"/>
              </w:rPr>
              <w:t>172.58</w:t>
            </w:r>
          </w:p>
        </w:tc>
        <w:tc>
          <w:tcPr>
            <w:tcW w:w="709" w:type="dxa"/>
            <w:gridSpan w:val="2"/>
            <w:noWrap w:val="0"/>
            <w:vAlign w:val="top"/>
          </w:tcPr>
          <w:p>
            <w:pPr>
              <w:widowControl/>
              <w:kinsoku w:val="0"/>
              <w:autoSpaceDE w:val="0"/>
              <w:autoSpaceDN w:val="0"/>
              <w:adjustRightInd w:val="0"/>
              <w:snapToGrid w:val="0"/>
              <w:spacing w:before="81" w:line="174" w:lineRule="auto"/>
              <w:ind w:left="306"/>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6"/>
                <w:kern w:val="0"/>
                <w:sz w:val="20"/>
                <w:szCs w:val="20"/>
              </w:rPr>
              <w:t>10</w:t>
            </w:r>
          </w:p>
        </w:tc>
        <w:tc>
          <w:tcPr>
            <w:tcW w:w="752"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100%</w:t>
            </w:r>
          </w:p>
        </w:tc>
        <w:tc>
          <w:tcPr>
            <w:tcW w:w="1413"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993" w:type="dxa"/>
            <w:vMerge w:val="continue"/>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2229" w:type="dxa"/>
            <w:gridSpan w:val="3"/>
            <w:noWrap w:val="0"/>
            <w:vAlign w:val="top"/>
          </w:tcPr>
          <w:p>
            <w:pPr>
              <w:widowControl/>
              <w:kinsoku w:val="0"/>
              <w:autoSpaceDE w:val="0"/>
              <w:autoSpaceDN w:val="0"/>
              <w:adjustRightInd w:val="0"/>
              <w:snapToGrid w:val="0"/>
              <w:spacing w:before="30" w:line="203" w:lineRule="auto"/>
              <w:ind w:left="10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1"/>
                <w:kern w:val="0"/>
                <w:sz w:val="20"/>
                <w:szCs w:val="20"/>
              </w:rPr>
              <w:t>其中：当年财政拨款</w:t>
            </w:r>
          </w:p>
        </w:tc>
        <w:tc>
          <w:tcPr>
            <w:tcW w:w="1219"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300</w:t>
            </w:r>
          </w:p>
        </w:tc>
        <w:tc>
          <w:tcPr>
            <w:tcW w:w="1371"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ascii="Arial" w:hAnsi="Arial" w:cs="Arial"/>
                <w:snapToGrid w:val="0"/>
                <w:color w:val="000000"/>
                <w:kern w:val="0"/>
                <w:szCs w:val="21"/>
              </w:rPr>
              <w:t>172.58</w:t>
            </w:r>
          </w:p>
        </w:tc>
        <w:tc>
          <w:tcPr>
            <w:tcW w:w="1134"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ascii="Arial" w:hAnsi="Arial" w:cs="Arial"/>
                <w:snapToGrid w:val="0"/>
                <w:color w:val="000000"/>
                <w:kern w:val="0"/>
                <w:szCs w:val="21"/>
              </w:rPr>
              <w:t>172.58</w:t>
            </w:r>
          </w:p>
        </w:tc>
        <w:tc>
          <w:tcPr>
            <w:tcW w:w="709"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752"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1413"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993" w:type="dxa"/>
            <w:vMerge w:val="restart"/>
            <w:noWrap w:val="0"/>
            <w:vAlign w:val="top"/>
          </w:tcPr>
          <w:p>
            <w:pPr>
              <w:widowControl/>
              <w:kinsoku w:val="0"/>
              <w:autoSpaceDE w:val="0"/>
              <w:autoSpaceDN w:val="0"/>
              <w:adjustRightInd w:val="0"/>
              <w:snapToGrid w:val="0"/>
              <w:spacing w:before="61" w:line="216" w:lineRule="auto"/>
              <w:ind w:left="324" w:right="147" w:hanging="199"/>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年度总体</w:t>
            </w:r>
            <w:r>
              <w:rPr>
                <w:rFonts w:ascii="宋体" w:hAnsi="宋体" w:eastAsia="宋体" w:cs="宋体"/>
                <w:snapToGrid w:val="0"/>
                <w:color w:val="000000"/>
                <w:spacing w:val="8"/>
                <w:kern w:val="0"/>
                <w:sz w:val="20"/>
                <w:szCs w:val="20"/>
              </w:rPr>
              <w:t>目标</w:t>
            </w:r>
          </w:p>
        </w:tc>
        <w:tc>
          <w:tcPr>
            <w:tcW w:w="4819" w:type="dxa"/>
            <w:gridSpan w:val="6"/>
            <w:noWrap w:val="0"/>
            <w:vAlign w:val="top"/>
          </w:tcPr>
          <w:p>
            <w:pPr>
              <w:widowControl/>
              <w:kinsoku w:val="0"/>
              <w:autoSpaceDE w:val="0"/>
              <w:autoSpaceDN w:val="0"/>
              <w:adjustRightInd w:val="0"/>
              <w:snapToGrid w:val="0"/>
              <w:spacing w:before="30" w:line="211" w:lineRule="auto"/>
              <w:ind w:left="1841"/>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预期目标</w:t>
            </w:r>
          </w:p>
        </w:tc>
        <w:tc>
          <w:tcPr>
            <w:tcW w:w="4008" w:type="dxa"/>
            <w:gridSpan w:val="7"/>
            <w:noWrap w:val="0"/>
            <w:vAlign w:val="top"/>
          </w:tcPr>
          <w:p>
            <w:pPr>
              <w:widowControl/>
              <w:kinsoku w:val="0"/>
              <w:autoSpaceDE w:val="0"/>
              <w:autoSpaceDN w:val="0"/>
              <w:adjustRightInd w:val="0"/>
              <w:snapToGrid w:val="0"/>
              <w:spacing w:before="30" w:line="211" w:lineRule="auto"/>
              <w:ind w:left="1515"/>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1"/>
                <w:kern w:val="0"/>
                <w:sz w:val="20"/>
                <w:szCs w:val="20"/>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993" w:type="dxa"/>
            <w:vMerge w:val="continue"/>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4819" w:type="dxa"/>
            <w:gridSpan w:val="6"/>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聚焦耕地和永久基本农田保护目标的底线控制规模及图斑落位、聚集生态保护红线已稳定成果的微调与优化、聚集城镇开发边界的规模与空间范围确定。.</w:t>
            </w:r>
          </w:p>
        </w:tc>
        <w:tc>
          <w:tcPr>
            <w:tcW w:w="4008" w:type="dxa"/>
            <w:gridSpan w:val="7"/>
            <w:noWrap w:val="0"/>
            <w:vAlign w:val="top"/>
          </w:tcPr>
          <w:p>
            <w:pPr>
              <w:widowControl/>
              <w:kinsoku w:val="0"/>
              <w:autoSpaceDE w:val="0"/>
              <w:autoSpaceDN w:val="0"/>
              <w:adjustRightInd w:val="0"/>
              <w:snapToGrid w:val="0"/>
              <w:ind w:firstLine="420" w:firstLineChars="200"/>
              <w:jc w:val="left"/>
              <w:textAlignment w:val="baseline"/>
              <w:rPr>
                <w:rFonts w:hint="eastAsia" w:ascii="Arial" w:hAnsi="Arial" w:cs="Arial"/>
                <w:snapToGrid w:val="0"/>
                <w:color w:val="000000"/>
                <w:kern w:val="0"/>
                <w:szCs w:val="21"/>
              </w:rPr>
            </w:pPr>
            <w:r>
              <w:rPr>
                <w:rFonts w:hint="eastAsia" w:ascii="Arial" w:hAnsi="Arial" w:cs="Arial"/>
                <w:snapToGrid w:val="0"/>
                <w:color w:val="000000"/>
                <w:kern w:val="0"/>
                <w:szCs w:val="21"/>
              </w:rPr>
              <w:t>完成各县市区耕地保护任务513.86万亩和永久基本农田保护任务目标450.2万亩、上报了生态保护红线（含自然保护地）的微调需求145.37平方公里、形成了城镇开发边界市域统筹1.3倍系数、各县市区错位发展的市域城镇开发边界新增规模133.59平方公里， “一上”最终成果于6月底上报自然资源部。</w:t>
            </w:r>
          </w:p>
          <w:p>
            <w:pPr>
              <w:widowControl/>
              <w:kinsoku w:val="0"/>
              <w:autoSpaceDE w:val="0"/>
              <w:autoSpaceDN w:val="0"/>
              <w:adjustRightInd w:val="0"/>
              <w:snapToGrid w:val="0"/>
              <w:ind w:firstLine="210" w:firstLineChars="10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7月31日，省厅下达了岳阳市三条控制线“二上”成果控制数。我市耕地目标控制数519.84万亩，比“一上”增加了5万亩；永久基本农田目标控制数459.2万亩，比“一上”增加了9万亩；城镇开发边界扩展规模120.41平方公里，比“一上”减少了13.18平方公里。最终于8月12日前形成了岳阳市“三区三线”“二上”稳定成果，与全省成果一并提交自然资源部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993" w:type="dxa"/>
            <w:vMerge w:val="restart"/>
            <w:noWrap w:val="0"/>
            <w:textDirection w:val="tbRlV"/>
            <w:vAlign w:val="top"/>
          </w:tcPr>
          <w:p>
            <w:pPr>
              <w:widowControl/>
              <w:kinsoku w:val="0"/>
              <w:autoSpaceDE w:val="0"/>
              <w:autoSpaceDN w:val="0"/>
              <w:adjustRightInd w:val="0"/>
              <w:snapToGrid w:val="0"/>
              <w:spacing w:line="360" w:lineRule="auto"/>
              <w:jc w:val="left"/>
              <w:textAlignment w:val="baseline"/>
              <w:rPr>
                <w:rFonts w:ascii="Arial" w:hAnsi="Arial" w:cs="Arial"/>
                <w:snapToGrid w:val="0"/>
                <w:color w:val="000000"/>
                <w:kern w:val="0"/>
                <w:szCs w:val="21"/>
              </w:rPr>
            </w:pPr>
          </w:p>
          <w:p>
            <w:pPr>
              <w:widowControl/>
              <w:kinsoku w:val="0"/>
              <w:autoSpaceDE w:val="0"/>
              <w:autoSpaceDN w:val="0"/>
              <w:adjustRightInd w:val="0"/>
              <w:snapToGrid w:val="0"/>
              <w:spacing w:before="67" w:line="217" w:lineRule="auto"/>
              <w:ind w:left="3503"/>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1"/>
                <w:kern w:val="0"/>
                <w:sz w:val="20"/>
                <w:szCs w:val="20"/>
              </w:rPr>
              <w:t>绩效指标</w:t>
            </w:r>
          </w:p>
        </w:tc>
        <w:tc>
          <w:tcPr>
            <w:tcW w:w="992" w:type="dxa"/>
            <w:noWrap w:val="0"/>
            <w:vAlign w:val="top"/>
          </w:tcPr>
          <w:p>
            <w:pPr>
              <w:widowControl/>
              <w:kinsoku w:val="0"/>
              <w:autoSpaceDE w:val="0"/>
              <w:autoSpaceDN w:val="0"/>
              <w:adjustRightInd w:val="0"/>
              <w:snapToGrid w:val="0"/>
              <w:spacing w:before="161" w:line="220" w:lineRule="auto"/>
              <w:ind w:left="121"/>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一级指标</w:t>
            </w:r>
          </w:p>
        </w:tc>
        <w:tc>
          <w:tcPr>
            <w:tcW w:w="992" w:type="dxa"/>
            <w:noWrap w:val="0"/>
            <w:vAlign w:val="top"/>
          </w:tcPr>
          <w:p>
            <w:pPr>
              <w:widowControl/>
              <w:kinsoku w:val="0"/>
              <w:autoSpaceDE w:val="0"/>
              <w:autoSpaceDN w:val="0"/>
              <w:adjustRightInd w:val="0"/>
              <w:snapToGrid w:val="0"/>
              <w:spacing w:before="161" w:line="220" w:lineRule="auto"/>
              <w:ind w:left="131"/>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二级指标</w:t>
            </w:r>
          </w:p>
        </w:tc>
        <w:tc>
          <w:tcPr>
            <w:tcW w:w="1843" w:type="dxa"/>
            <w:gridSpan w:val="3"/>
            <w:noWrap w:val="0"/>
            <w:vAlign w:val="top"/>
          </w:tcPr>
          <w:p>
            <w:pPr>
              <w:widowControl/>
              <w:kinsoku w:val="0"/>
              <w:autoSpaceDE w:val="0"/>
              <w:autoSpaceDN w:val="0"/>
              <w:adjustRightInd w:val="0"/>
              <w:snapToGrid w:val="0"/>
              <w:spacing w:before="161" w:line="220" w:lineRule="auto"/>
              <w:ind w:left="203"/>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三级指标</w:t>
            </w:r>
          </w:p>
        </w:tc>
        <w:tc>
          <w:tcPr>
            <w:tcW w:w="992" w:type="dxa"/>
            <w:noWrap w:val="0"/>
            <w:vAlign w:val="top"/>
          </w:tcPr>
          <w:p>
            <w:pPr>
              <w:widowControl/>
              <w:kinsoku w:val="0"/>
              <w:autoSpaceDE w:val="0"/>
              <w:autoSpaceDN w:val="0"/>
              <w:adjustRightInd w:val="0"/>
              <w:snapToGrid w:val="0"/>
              <w:spacing w:before="41"/>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5"/>
                <w:kern w:val="0"/>
                <w:sz w:val="20"/>
                <w:szCs w:val="20"/>
              </w:rPr>
              <w:t>年度</w:t>
            </w:r>
            <w:r>
              <w:rPr>
                <w:rFonts w:ascii="宋体" w:hAnsi="宋体" w:eastAsia="宋体" w:cs="宋体"/>
                <w:snapToGrid w:val="0"/>
                <w:color w:val="000000"/>
                <w:spacing w:val="-3"/>
                <w:kern w:val="0"/>
                <w:sz w:val="20"/>
                <w:szCs w:val="20"/>
              </w:rPr>
              <w:t>指标值</w:t>
            </w:r>
          </w:p>
        </w:tc>
        <w:tc>
          <w:tcPr>
            <w:tcW w:w="1559" w:type="dxa"/>
            <w:gridSpan w:val="2"/>
            <w:noWrap w:val="0"/>
            <w:vAlign w:val="top"/>
          </w:tcPr>
          <w:p>
            <w:pPr>
              <w:widowControl/>
              <w:kinsoku w:val="0"/>
              <w:autoSpaceDE w:val="0"/>
              <w:autoSpaceDN w:val="0"/>
              <w:adjustRightInd w:val="0"/>
              <w:snapToGrid w:val="0"/>
              <w:spacing w:before="31" w:line="280" w:lineRule="exact"/>
              <w:ind w:left="354"/>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4"/>
                <w:kern w:val="0"/>
                <w:position w:val="5"/>
                <w:sz w:val="20"/>
                <w:szCs w:val="20"/>
              </w:rPr>
              <w:t>实际</w:t>
            </w:r>
          </w:p>
          <w:p>
            <w:pPr>
              <w:widowControl/>
              <w:kinsoku w:val="0"/>
              <w:autoSpaceDE w:val="0"/>
              <w:autoSpaceDN w:val="0"/>
              <w:adjustRightInd w:val="0"/>
              <w:snapToGrid w:val="0"/>
              <w:spacing w:before="1" w:line="191" w:lineRule="auto"/>
              <w:ind w:left="255"/>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完成值</w:t>
            </w:r>
          </w:p>
        </w:tc>
        <w:tc>
          <w:tcPr>
            <w:tcW w:w="851" w:type="dxa"/>
            <w:gridSpan w:val="2"/>
            <w:noWrap w:val="0"/>
            <w:vAlign w:val="top"/>
          </w:tcPr>
          <w:p>
            <w:pPr>
              <w:widowControl/>
              <w:kinsoku w:val="0"/>
              <w:autoSpaceDE w:val="0"/>
              <w:autoSpaceDN w:val="0"/>
              <w:adjustRightInd w:val="0"/>
              <w:snapToGrid w:val="0"/>
              <w:spacing w:before="161" w:line="219" w:lineRule="auto"/>
              <w:ind w:left="206"/>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分值</w:t>
            </w:r>
          </w:p>
        </w:tc>
        <w:tc>
          <w:tcPr>
            <w:tcW w:w="567" w:type="dxa"/>
            <w:gridSpan w:val="2"/>
            <w:noWrap w:val="0"/>
            <w:vAlign w:val="top"/>
          </w:tcPr>
          <w:p>
            <w:pPr>
              <w:widowControl/>
              <w:kinsoku w:val="0"/>
              <w:autoSpaceDE w:val="0"/>
              <w:autoSpaceDN w:val="0"/>
              <w:adjustRightInd w:val="0"/>
              <w:snapToGrid w:val="0"/>
              <w:spacing w:before="161" w:line="219" w:lineRule="auto"/>
              <w:ind w:left="226"/>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3"/>
                <w:kern w:val="0"/>
                <w:sz w:val="20"/>
                <w:szCs w:val="20"/>
              </w:rPr>
              <w:t>得分</w:t>
            </w:r>
          </w:p>
        </w:tc>
        <w:tc>
          <w:tcPr>
            <w:tcW w:w="1031" w:type="dxa"/>
            <w:noWrap w:val="0"/>
            <w:vAlign w:val="top"/>
          </w:tcPr>
          <w:p>
            <w:pPr>
              <w:widowControl/>
              <w:kinsoku w:val="0"/>
              <w:autoSpaceDE w:val="0"/>
              <w:autoSpaceDN w:val="0"/>
              <w:adjustRightInd w:val="0"/>
              <w:snapToGrid w:val="0"/>
              <w:spacing w:before="31" w:line="219" w:lineRule="auto"/>
              <w:ind w:left="98"/>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偏差原因分析及改进措施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993" w:type="dxa"/>
            <w:vMerge w:val="continue"/>
            <w:noWrap w:val="0"/>
            <w:textDirection w:val="tbRlV"/>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992" w:type="dxa"/>
            <w:vMerge w:val="restart"/>
            <w:noWrap w:val="0"/>
            <w:vAlign w:val="top"/>
          </w:tcPr>
          <w:p>
            <w:pPr>
              <w:widowControl/>
              <w:kinsoku w:val="0"/>
              <w:autoSpaceDE w:val="0"/>
              <w:autoSpaceDN w:val="0"/>
              <w:adjustRightInd w:val="0"/>
              <w:snapToGrid w:val="0"/>
              <w:spacing w:line="298" w:lineRule="auto"/>
              <w:jc w:val="left"/>
              <w:textAlignment w:val="baseline"/>
              <w:rPr>
                <w:rFonts w:ascii="Arial" w:hAnsi="Arial" w:cs="Arial"/>
                <w:snapToGrid w:val="0"/>
                <w:color w:val="000000"/>
                <w:kern w:val="0"/>
                <w:szCs w:val="21"/>
              </w:rPr>
            </w:pPr>
          </w:p>
          <w:p>
            <w:pPr>
              <w:widowControl/>
              <w:kinsoku w:val="0"/>
              <w:autoSpaceDE w:val="0"/>
              <w:autoSpaceDN w:val="0"/>
              <w:adjustRightInd w:val="0"/>
              <w:snapToGrid w:val="0"/>
              <w:spacing w:line="298" w:lineRule="auto"/>
              <w:jc w:val="left"/>
              <w:textAlignment w:val="baseline"/>
              <w:rPr>
                <w:rFonts w:ascii="Arial" w:hAnsi="Arial" w:cs="Arial"/>
                <w:snapToGrid w:val="0"/>
                <w:color w:val="000000"/>
                <w:kern w:val="0"/>
                <w:szCs w:val="21"/>
              </w:rPr>
            </w:pPr>
          </w:p>
          <w:p>
            <w:pPr>
              <w:widowControl/>
              <w:kinsoku w:val="0"/>
              <w:autoSpaceDE w:val="0"/>
              <w:autoSpaceDN w:val="0"/>
              <w:adjustRightInd w:val="0"/>
              <w:snapToGrid w:val="0"/>
              <w:spacing w:before="65" w:line="219" w:lineRule="auto"/>
              <w:ind w:left="121"/>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产出指标</w:t>
            </w:r>
          </w:p>
          <w:p>
            <w:pPr>
              <w:widowControl/>
              <w:kinsoku w:val="0"/>
              <w:autoSpaceDE w:val="0"/>
              <w:autoSpaceDN w:val="0"/>
              <w:adjustRightInd w:val="0"/>
              <w:snapToGrid w:val="0"/>
              <w:spacing w:before="273" w:line="220" w:lineRule="auto"/>
              <w:ind w:left="221"/>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8"/>
                <w:kern w:val="0"/>
                <w:sz w:val="20"/>
                <w:szCs w:val="20"/>
              </w:rPr>
              <w:t>(50分)</w:t>
            </w:r>
          </w:p>
        </w:tc>
        <w:tc>
          <w:tcPr>
            <w:tcW w:w="992" w:type="dxa"/>
            <w:vMerge w:val="restart"/>
            <w:noWrap w:val="0"/>
            <w:vAlign w:val="top"/>
          </w:tcPr>
          <w:p>
            <w:pPr>
              <w:widowControl/>
              <w:kinsoku w:val="0"/>
              <w:autoSpaceDE w:val="0"/>
              <w:autoSpaceDN w:val="0"/>
              <w:adjustRightInd w:val="0"/>
              <w:snapToGrid w:val="0"/>
              <w:spacing w:before="65" w:line="219" w:lineRule="auto"/>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2"/>
                <w:kern w:val="0"/>
                <w:sz w:val="20"/>
                <w:szCs w:val="20"/>
              </w:rPr>
              <w:t>数量指标</w:t>
            </w:r>
          </w:p>
        </w:tc>
        <w:tc>
          <w:tcPr>
            <w:tcW w:w="1843" w:type="dxa"/>
            <w:gridSpan w:val="3"/>
            <w:noWrap w:val="0"/>
            <w:vAlign w:val="center"/>
          </w:tcPr>
          <w:p>
            <w:pPr>
              <w:widowControl/>
              <w:kinsoku w:val="0"/>
              <w:autoSpaceDE w:val="0"/>
              <w:autoSpaceDN w:val="0"/>
              <w:adjustRightInd w:val="0"/>
              <w:snapToGrid w:val="0"/>
              <w:spacing w:line="240" w:lineRule="exact"/>
              <w:jc w:val="left"/>
              <w:textAlignment w:val="baseline"/>
              <w:rPr>
                <w:rFonts w:ascii="宋体" w:hAnsi="宋体" w:eastAsia="宋体" w:cs="宋体"/>
                <w:snapToGrid w:val="0"/>
                <w:color w:val="000000"/>
                <w:spacing w:val="-2"/>
                <w:kern w:val="0"/>
                <w:sz w:val="20"/>
                <w:szCs w:val="20"/>
              </w:rPr>
            </w:pPr>
            <w:r>
              <w:rPr>
                <w:rFonts w:hint="eastAsia" w:ascii="Arial" w:hAnsi="Arial" w:cs="Arial"/>
                <w:snapToGrid w:val="0"/>
                <w:color w:val="000000"/>
                <w:kern w:val="0"/>
                <w:szCs w:val="21"/>
              </w:rPr>
              <w:t>耕地目标控制数</w:t>
            </w:r>
          </w:p>
        </w:tc>
        <w:tc>
          <w:tcPr>
            <w:tcW w:w="992" w:type="dxa"/>
            <w:noWrap w:val="0"/>
            <w:vAlign w:val="center"/>
          </w:tcPr>
          <w:p>
            <w:pPr>
              <w:widowControl/>
              <w:kinsoku w:val="0"/>
              <w:autoSpaceDE w:val="0"/>
              <w:autoSpaceDN w:val="0"/>
              <w:adjustRightInd w:val="0"/>
              <w:snapToGrid w:val="0"/>
              <w:jc w:val="center"/>
              <w:textAlignment w:val="baseline"/>
              <w:rPr>
                <w:rFonts w:ascii="宋体" w:hAnsi="宋体" w:cs="宋体"/>
                <w:snapToGrid w:val="0"/>
                <w:color w:val="000000"/>
                <w:spacing w:val="-2"/>
                <w:kern w:val="0"/>
                <w:sz w:val="20"/>
                <w:szCs w:val="20"/>
              </w:rPr>
            </w:pPr>
            <w:r>
              <w:rPr>
                <w:rFonts w:hint="eastAsia" w:ascii="宋体" w:hAnsi="宋体" w:cs="宋体"/>
                <w:snapToGrid w:val="0"/>
                <w:color w:val="000000"/>
                <w:spacing w:val="-2"/>
                <w:kern w:val="0"/>
                <w:sz w:val="20"/>
                <w:szCs w:val="20"/>
              </w:rPr>
              <w:t>519.84万亩</w:t>
            </w:r>
          </w:p>
        </w:tc>
        <w:tc>
          <w:tcPr>
            <w:tcW w:w="1559" w:type="dxa"/>
            <w:gridSpan w:val="2"/>
            <w:noWrap w:val="0"/>
            <w:vAlign w:val="top"/>
          </w:tcPr>
          <w:p>
            <w:pPr>
              <w:widowControl/>
              <w:kinsoku w:val="0"/>
              <w:autoSpaceDE w:val="0"/>
              <w:autoSpaceDN w:val="0"/>
              <w:adjustRightInd w:val="0"/>
              <w:snapToGrid w:val="0"/>
              <w:jc w:val="center"/>
              <w:textAlignment w:val="baseline"/>
              <w:rPr>
                <w:rFonts w:ascii="宋体" w:hAnsi="宋体" w:eastAsia="宋体" w:cs="宋体"/>
                <w:snapToGrid w:val="0"/>
                <w:color w:val="000000"/>
                <w:spacing w:val="-2"/>
                <w:kern w:val="0"/>
                <w:sz w:val="20"/>
                <w:szCs w:val="20"/>
              </w:rPr>
            </w:pPr>
            <w:r>
              <w:rPr>
                <w:rFonts w:hint="eastAsia" w:ascii="宋体" w:hAnsi="宋体" w:eastAsia="宋体" w:cs="宋体"/>
                <w:snapToGrid w:val="0"/>
                <w:color w:val="000000"/>
                <w:spacing w:val="-2"/>
                <w:kern w:val="0"/>
                <w:sz w:val="20"/>
                <w:szCs w:val="20"/>
              </w:rPr>
              <w:t>100%</w:t>
            </w:r>
          </w:p>
        </w:tc>
        <w:tc>
          <w:tcPr>
            <w:tcW w:w="851"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6.25</w:t>
            </w:r>
          </w:p>
        </w:tc>
        <w:tc>
          <w:tcPr>
            <w:tcW w:w="567"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6.25</w:t>
            </w:r>
          </w:p>
        </w:tc>
        <w:tc>
          <w:tcPr>
            <w:tcW w:w="1031" w:type="dxa"/>
            <w:vMerge w:val="restart"/>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993" w:type="dxa"/>
            <w:vMerge w:val="continue"/>
            <w:noWrap w:val="0"/>
            <w:textDirection w:val="tbRlV"/>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992" w:type="dxa"/>
            <w:vMerge w:val="continue"/>
            <w:noWrap w:val="0"/>
            <w:vAlign w:val="top"/>
          </w:tcPr>
          <w:p>
            <w:pPr>
              <w:widowControl/>
              <w:kinsoku w:val="0"/>
              <w:autoSpaceDE w:val="0"/>
              <w:autoSpaceDN w:val="0"/>
              <w:adjustRightInd w:val="0"/>
              <w:snapToGrid w:val="0"/>
              <w:spacing w:line="298" w:lineRule="auto"/>
              <w:jc w:val="left"/>
              <w:textAlignment w:val="baseline"/>
              <w:rPr>
                <w:rFonts w:ascii="Arial" w:hAnsi="Arial" w:cs="Arial"/>
                <w:snapToGrid w:val="0"/>
                <w:color w:val="000000"/>
                <w:kern w:val="0"/>
                <w:szCs w:val="21"/>
              </w:rPr>
            </w:pPr>
          </w:p>
        </w:tc>
        <w:tc>
          <w:tcPr>
            <w:tcW w:w="992" w:type="dxa"/>
            <w:vMerge w:val="continue"/>
            <w:noWrap w:val="0"/>
            <w:vAlign w:val="top"/>
          </w:tcPr>
          <w:p>
            <w:pPr>
              <w:widowControl/>
              <w:kinsoku w:val="0"/>
              <w:autoSpaceDE w:val="0"/>
              <w:autoSpaceDN w:val="0"/>
              <w:adjustRightInd w:val="0"/>
              <w:snapToGrid w:val="0"/>
              <w:spacing w:before="65" w:line="219" w:lineRule="auto"/>
              <w:jc w:val="left"/>
              <w:textAlignment w:val="baseline"/>
              <w:rPr>
                <w:rFonts w:ascii="宋体" w:hAnsi="宋体" w:eastAsia="宋体" w:cs="宋体"/>
                <w:snapToGrid w:val="0"/>
                <w:color w:val="000000"/>
                <w:spacing w:val="-2"/>
                <w:kern w:val="0"/>
                <w:sz w:val="20"/>
                <w:szCs w:val="20"/>
              </w:rPr>
            </w:pPr>
          </w:p>
        </w:tc>
        <w:tc>
          <w:tcPr>
            <w:tcW w:w="1843" w:type="dxa"/>
            <w:gridSpan w:val="3"/>
            <w:noWrap w:val="0"/>
            <w:vAlign w:val="center"/>
          </w:tcPr>
          <w:p>
            <w:pPr>
              <w:widowControl/>
              <w:kinsoku w:val="0"/>
              <w:autoSpaceDE w:val="0"/>
              <w:autoSpaceDN w:val="0"/>
              <w:adjustRightInd w:val="0"/>
              <w:snapToGrid w:val="0"/>
              <w:spacing w:line="240" w:lineRule="exact"/>
              <w:jc w:val="left"/>
              <w:textAlignment w:val="baseline"/>
              <w:rPr>
                <w:rFonts w:hint="eastAsia" w:ascii="Arial" w:hAnsi="Arial" w:cs="Arial"/>
                <w:snapToGrid w:val="0"/>
                <w:color w:val="000000"/>
                <w:kern w:val="0"/>
                <w:szCs w:val="21"/>
              </w:rPr>
            </w:pPr>
            <w:r>
              <w:rPr>
                <w:rFonts w:hint="eastAsia" w:ascii="Arial" w:hAnsi="Arial" w:cs="Arial"/>
                <w:snapToGrid w:val="0"/>
                <w:color w:val="000000"/>
                <w:kern w:val="0"/>
                <w:szCs w:val="21"/>
              </w:rPr>
              <w:t>永久基本农田目标</w:t>
            </w:r>
          </w:p>
        </w:tc>
        <w:tc>
          <w:tcPr>
            <w:tcW w:w="992" w:type="dxa"/>
            <w:noWrap w:val="0"/>
            <w:vAlign w:val="center"/>
          </w:tcPr>
          <w:p>
            <w:pPr>
              <w:widowControl/>
              <w:kinsoku w:val="0"/>
              <w:autoSpaceDE w:val="0"/>
              <w:autoSpaceDN w:val="0"/>
              <w:adjustRightInd w:val="0"/>
              <w:snapToGrid w:val="0"/>
              <w:jc w:val="center"/>
              <w:textAlignment w:val="baseline"/>
              <w:rPr>
                <w:rFonts w:hint="eastAsia" w:ascii="宋体" w:hAnsi="宋体" w:cs="宋体"/>
                <w:snapToGrid w:val="0"/>
                <w:color w:val="000000"/>
                <w:spacing w:val="-2"/>
                <w:kern w:val="0"/>
                <w:sz w:val="20"/>
                <w:szCs w:val="20"/>
              </w:rPr>
            </w:pPr>
            <w:r>
              <w:rPr>
                <w:rFonts w:hint="eastAsia" w:ascii="Arial" w:hAnsi="Arial" w:cs="Arial"/>
                <w:snapToGrid w:val="0"/>
                <w:color w:val="000000"/>
                <w:kern w:val="0"/>
                <w:szCs w:val="21"/>
              </w:rPr>
              <w:t>459.2万亩</w:t>
            </w:r>
          </w:p>
        </w:tc>
        <w:tc>
          <w:tcPr>
            <w:tcW w:w="1559" w:type="dxa"/>
            <w:gridSpan w:val="2"/>
            <w:noWrap w:val="0"/>
            <w:vAlign w:val="top"/>
          </w:tcPr>
          <w:p>
            <w:pPr>
              <w:widowControl/>
              <w:kinsoku w:val="0"/>
              <w:autoSpaceDE w:val="0"/>
              <w:autoSpaceDN w:val="0"/>
              <w:adjustRightInd w:val="0"/>
              <w:snapToGrid w:val="0"/>
              <w:jc w:val="center"/>
              <w:textAlignment w:val="baseline"/>
              <w:rPr>
                <w:rFonts w:hint="eastAsia" w:ascii="宋体" w:hAnsi="宋体" w:eastAsia="宋体" w:cs="宋体"/>
                <w:snapToGrid w:val="0"/>
                <w:color w:val="000000"/>
                <w:spacing w:val="-2"/>
                <w:kern w:val="0"/>
                <w:sz w:val="20"/>
                <w:szCs w:val="20"/>
              </w:rPr>
            </w:pPr>
            <w:r>
              <w:rPr>
                <w:rFonts w:hint="eastAsia" w:ascii="宋体" w:hAnsi="宋体" w:eastAsia="宋体" w:cs="宋体"/>
                <w:snapToGrid w:val="0"/>
                <w:color w:val="000000"/>
                <w:spacing w:val="-2"/>
                <w:kern w:val="0"/>
                <w:sz w:val="20"/>
                <w:szCs w:val="20"/>
              </w:rPr>
              <w:t>100%</w:t>
            </w:r>
          </w:p>
        </w:tc>
        <w:tc>
          <w:tcPr>
            <w:tcW w:w="851" w:type="dxa"/>
            <w:gridSpan w:val="2"/>
            <w:noWrap w:val="0"/>
            <w:vAlign w:val="top"/>
          </w:tcPr>
          <w:p>
            <w:pPr>
              <w:widowControl/>
              <w:kinsoku w:val="0"/>
              <w:autoSpaceDE w:val="0"/>
              <w:autoSpaceDN w:val="0"/>
              <w:adjustRightInd w:val="0"/>
              <w:snapToGrid w:val="0"/>
              <w:jc w:val="center"/>
              <w:textAlignment w:val="baseline"/>
              <w:rPr>
                <w:rFonts w:hint="eastAsia" w:ascii="Arial" w:hAnsi="Arial" w:cs="Arial"/>
                <w:snapToGrid w:val="0"/>
                <w:color w:val="000000"/>
                <w:kern w:val="0"/>
                <w:szCs w:val="21"/>
              </w:rPr>
            </w:pPr>
            <w:r>
              <w:rPr>
                <w:rFonts w:hint="eastAsia" w:ascii="Arial" w:hAnsi="Arial" w:cs="Arial"/>
                <w:snapToGrid w:val="0"/>
                <w:color w:val="000000"/>
                <w:kern w:val="0"/>
                <w:szCs w:val="21"/>
              </w:rPr>
              <w:t>6.25</w:t>
            </w:r>
          </w:p>
        </w:tc>
        <w:tc>
          <w:tcPr>
            <w:tcW w:w="567" w:type="dxa"/>
            <w:gridSpan w:val="2"/>
            <w:noWrap w:val="0"/>
            <w:vAlign w:val="top"/>
          </w:tcPr>
          <w:p>
            <w:pPr>
              <w:widowControl/>
              <w:kinsoku w:val="0"/>
              <w:autoSpaceDE w:val="0"/>
              <w:autoSpaceDN w:val="0"/>
              <w:adjustRightInd w:val="0"/>
              <w:snapToGrid w:val="0"/>
              <w:jc w:val="center"/>
              <w:textAlignment w:val="baseline"/>
              <w:rPr>
                <w:rFonts w:hint="eastAsia" w:ascii="Arial" w:hAnsi="Arial" w:cs="Arial"/>
                <w:snapToGrid w:val="0"/>
                <w:color w:val="000000"/>
                <w:kern w:val="0"/>
                <w:szCs w:val="21"/>
              </w:rPr>
            </w:pPr>
            <w:r>
              <w:rPr>
                <w:rFonts w:hint="eastAsia" w:ascii="Arial" w:hAnsi="Arial" w:cs="Arial"/>
                <w:snapToGrid w:val="0"/>
                <w:color w:val="000000"/>
                <w:kern w:val="0"/>
                <w:szCs w:val="21"/>
              </w:rPr>
              <w:t>6.25</w:t>
            </w:r>
          </w:p>
        </w:tc>
        <w:tc>
          <w:tcPr>
            <w:tcW w:w="1031" w:type="dxa"/>
            <w:vMerge w:val="continue"/>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993" w:type="dxa"/>
            <w:vMerge w:val="continue"/>
            <w:noWrap w:val="0"/>
            <w:textDirection w:val="tbRlV"/>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992" w:type="dxa"/>
            <w:vMerge w:val="continue"/>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992" w:type="dxa"/>
            <w:noWrap w:val="0"/>
            <w:vAlign w:val="top"/>
          </w:tcPr>
          <w:p>
            <w:pPr>
              <w:widowControl/>
              <w:kinsoku w:val="0"/>
              <w:autoSpaceDE w:val="0"/>
              <w:autoSpaceDN w:val="0"/>
              <w:adjustRightInd w:val="0"/>
              <w:snapToGrid w:val="0"/>
              <w:spacing w:before="161" w:line="220" w:lineRule="auto"/>
              <w:ind w:left="131"/>
              <w:jc w:val="left"/>
              <w:textAlignment w:val="baseline"/>
              <w:rPr>
                <w:rFonts w:ascii="宋体" w:hAnsi="宋体" w:eastAsia="宋体" w:cs="宋体"/>
                <w:snapToGrid w:val="0"/>
                <w:color w:val="000000"/>
                <w:spacing w:val="-3"/>
                <w:kern w:val="0"/>
                <w:sz w:val="20"/>
                <w:szCs w:val="20"/>
              </w:rPr>
            </w:pPr>
            <w:r>
              <w:rPr>
                <w:rFonts w:ascii="宋体" w:hAnsi="宋体" w:eastAsia="宋体" w:cs="宋体"/>
                <w:snapToGrid w:val="0"/>
                <w:color w:val="000000"/>
                <w:spacing w:val="-3"/>
                <w:kern w:val="0"/>
                <w:sz w:val="20"/>
                <w:szCs w:val="20"/>
              </w:rPr>
              <w:t>质量指标</w:t>
            </w:r>
          </w:p>
        </w:tc>
        <w:tc>
          <w:tcPr>
            <w:tcW w:w="1843" w:type="dxa"/>
            <w:gridSpan w:val="3"/>
            <w:noWrap w:val="0"/>
            <w:vAlign w:val="center"/>
          </w:tcPr>
          <w:p>
            <w:pPr>
              <w:widowControl/>
              <w:kinsoku w:val="0"/>
              <w:autoSpaceDE w:val="0"/>
              <w:autoSpaceDN w:val="0"/>
              <w:adjustRightInd w:val="0"/>
              <w:snapToGrid w:val="0"/>
              <w:spacing w:line="240" w:lineRule="exact"/>
              <w:jc w:val="left"/>
              <w:textAlignment w:val="baseline"/>
              <w:rPr>
                <w:rFonts w:ascii="宋体" w:hAnsi="宋体" w:eastAsia="宋体" w:cs="宋体"/>
                <w:snapToGrid w:val="0"/>
                <w:color w:val="000000"/>
                <w:spacing w:val="-2"/>
                <w:kern w:val="0"/>
                <w:sz w:val="20"/>
                <w:szCs w:val="20"/>
              </w:rPr>
            </w:pPr>
            <w:r>
              <w:rPr>
                <w:rFonts w:hint="eastAsia" w:ascii="宋体" w:hAnsi="宋体" w:eastAsia="宋体" w:cs="宋体"/>
                <w:snapToGrid w:val="0"/>
                <w:color w:val="000000"/>
                <w:spacing w:val="-2"/>
                <w:kern w:val="0"/>
                <w:sz w:val="20"/>
                <w:szCs w:val="20"/>
              </w:rPr>
              <w:t>质量验收等级</w:t>
            </w:r>
          </w:p>
        </w:tc>
        <w:tc>
          <w:tcPr>
            <w:tcW w:w="992" w:type="dxa"/>
            <w:noWrap w:val="0"/>
            <w:vAlign w:val="center"/>
          </w:tcPr>
          <w:p>
            <w:pPr>
              <w:widowControl/>
              <w:kinsoku w:val="0"/>
              <w:autoSpaceDE w:val="0"/>
              <w:autoSpaceDN w:val="0"/>
              <w:adjustRightInd w:val="0"/>
              <w:snapToGrid w:val="0"/>
              <w:spacing w:line="240" w:lineRule="exact"/>
              <w:jc w:val="left"/>
              <w:textAlignment w:val="baseline"/>
              <w:rPr>
                <w:rFonts w:hint="eastAsia" w:ascii="Arial" w:hAnsi="Arial" w:eastAsia="仿宋_GB2312" w:cs="Arial"/>
                <w:snapToGrid w:val="0"/>
                <w:color w:val="000000"/>
                <w:kern w:val="0"/>
                <w:sz w:val="24"/>
                <w:szCs w:val="21"/>
              </w:rPr>
            </w:pPr>
            <w:r>
              <w:rPr>
                <w:rFonts w:hint="eastAsia" w:ascii="宋体" w:hAnsi="宋体" w:eastAsia="宋体" w:cs="宋体"/>
                <w:snapToGrid w:val="0"/>
                <w:color w:val="000000"/>
                <w:spacing w:val="-2"/>
                <w:kern w:val="0"/>
                <w:sz w:val="20"/>
                <w:szCs w:val="20"/>
              </w:rPr>
              <w:t>验收合格</w:t>
            </w:r>
          </w:p>
        </w:tc>
        <w:tc>
          <w:tcPr>
            <w:tcW w:w="1559"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合格</w:t>
            </w:r>
          </w:p>
        </w:tc>
        <w:tc>
          <w:tcPr>
            <w:tcW w:w="851"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12.5</w:t>
            </w:r>
          </w:p>
        </w:tc>
        <w:tc>
          <w:tcPr>
            <w:tcW w:w="567"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12.5</w:t>
            </w:r>
          </w:p>
        </w:tc>
        <w:tc>
          <w:tcPr>
            <w:tcW w:w="1031"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993" w:type="dxa"/>
            <w:vMerge w:val="continue"/>
            <w:noWrap w:val="0"/>
            <w:textDirection w:val="tbRlV"/>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992" w:type="dxa"/>
            <w:vMerge w:val="continue"/>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992" w:type="dxa"/>
            <w:noWrap w:val="0"/>
            <w:vAlign w:val="top"/>
          </w:tcPr>
          <w:p>
            <w:pPr>
              <w:widowControl/>
              <w:kinsoku w:val="0"/>
              <w:autoSpaceDE w:val="0"/>
              <w:autoSpaceDN w:val="0"/>
              <w:adjustRightInd w:val="0"/>
              <w:snapToGrid w:val="0"/>
              <w:spacing w:before="161" w:line="220" w:lineRule="auto"/>
              <w:ind w:left="131"/>
              <w:jc w:val="left"/>
              <w:textAlignment w:val="baseline"/>
              <w:rPr>
                <w:rFonts w:ascii="宋体" w:hAnsi="宋体" w:eastAsia="宋体" w:cs="宋体"/>
                <w:snapToGrid w:val="0"/>
                <w:color w:val="000000"/>
                <w:spacing w:val="-3"/>
                <w:kern w:val="0"/>
                <w:sz w:val="20"/>
                <w:szCs w:val="20"/>
              </w:rPr>
            </w:pPr>
            <w:r>
              <w:rPr>
                <w:rFonts w:hint="eastAsia" w:ascii="宋体" w:hAnsi="宋体" w:eastAsia="宋体" w:cs="宋体"/>
                <w:snapToGrid w:val="0"/>
                <w:color w:val="000000"/>
                <w:spacing w:val="-3"/>
                <w:kern w:val="0"/>
                <w:sz w:val="20"/>
                <w:szCs w:val="20"/>
              </w:rPr>
              <w:t>时效指标</w:t>
            </w:r>
          </w:p>
        </w:tc>
        <w:tc>
          <w:tcPr>
            <w:tcW w:w="1843" w:type="dxa"/>
            <w:gridSpan w:val="3"/>
            <w:noWrap w:val="0"/>
            <w:vAlign w:val="center"/>
          </w:tcPr>
          <w:p>
            <w:pPr>
              <w:widowControl/>
              <w:kinsoku w:val="0"/>
              <w:autoSpaceDE w:val="0"/>
              <w:autoSpaceDN w:val="0"/>
              <w:adjustRightInd w:val="0"/>
              <w:snapToGrid w:val="0"/>
              <w:spacing w:line="240" w:lineRule="exact"/>
              <w:jc w:val="left"/>
              <w:textAlignment w:val="baseline"/>
              <w:rPr>
                <w:rFonts w:ascii="宋体" w:hAnsi="宋体" w:eastAsia="宋体" w:cs="宋体"/>
                <w:snapToGrid w:val="0"/>
                <w:color w:val="000000"/>
                <w:spacing w:val="-2"/>
                <w:kern w:val="0"/>
                <w:sz w:val="20"/>
                <w:szCs w:val="20"/>
              </w:rPr>
            </w:pPr>
            <w:r>
              <w:rPr>
                <w:rFonts w:hint="eastAsia" w:ascii="宋体" w:hAnsi="宋体" w:eastAsia="宋体" w:cs="宋体"/>
                <w:snapToGrid w:val="0"/>
                <w:color w:val="000000"/>
                <w:spacing w:val="-2"/>
                <w:kern w:val="0"/>
                <w:sz w:val="20"/>
                <w:szCs w:val="20"/>
              </w:rPr>
              <w:t>完成日期</w:t>
            </w:r>
          </w:p>
        </w:tc>
        <w:tc>
          <w:tcPr>
            <w:tcW w:w="992" w:type="dxa"/>
            <w:noWrap w:val="0"/>
            <w:vAlign w:val="center"/>
          </w:tcPr>
          <w:p>
            <w:pPr>
              <w:widowControl/>
              <w:kinsoku w:val="0"/>
              <w:autoSpaceDE w:val="0"/>
              <w:autoSpaceDN w:val="0"/>
              <w:adjustRightInd w:val="0"/>
              <w:snapToGrid w:val="0"/>
              <w:jc w:val="center"/>
              <w:textAlignment w:val="baseline"/>
              <w:rPr>
                <w:rFonts w:ascii="宋体" w:hAnsi="宋体" w:cs="宋体"/>
                <w:snapToGrid w:val="0"/>
                <w:color w:val="000000"/>
                <w:spacing w:val="-2"/>
                <w:kern w:val="0"/>
                <w:sz w:val="20"/>
                <w:szCs w:val="20"/>
              </w:rPr>
            </w:pPr>
            <w:r>
              <w:rPr>
                <w:rFonts w:hint="eastAsia" w:ascii="宋体" w:hAnsi="宋体" w:eastAsia="宋体" w:cs="宋体"/>
                <w:snapToGrid w:val="0"/>
                <w:color w:val="000000"/>
                <w:spacing w:val="-2"/>
                <w:kern w:val="0"/>
                <w:sz w:val="20"/>
                <w:szCs w:val="20"/>
              </w:rPr>
              <w:t>2022.</w:t>
            </w:r>
            <w:r>
              <w:rPr>
                <w:rFonts w:hint="eastAsia" w:ascii="宋体" w:hAnsi="宋体" w:cs="宋体"/>
                <w:snapToGrid w:val="0"/>
                <w:color w:val="000000"/>
                <w:spacing w:val="-2"/>
                <w:kern w:val="0"/>
                <w:sz w:val="20"/>
                <w:szCs w:val="20"/>
              </w:rPr>
              <w:t>12</w:t>
            </w:r>
          </w:p>
        </w:tc>
        <w:tc>
          <w:tcPr>
            <w:tcW w:w="1559"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时效达标</w:t>
            </w:r>
          </w:p>
        </w:tc>
        <w:tc>
          <w:tcPr>
            <w:tcW w:w="851"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12.5</w:t>
            </w:r>
          </w:p>
        </w:tc>
        <w:tc>
          <w:tcPr>
            <w:tcW w:w="567"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12.5</w:t>
            </w:r>
          </w:p>
        </w:tc>
        <w:tc>
          <w:tcPr>
            <w:tcW w:w="1031"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993" w:type="dxa"/>
            <w:vMerge w:val="continue"/>
            <w:noWrap w:val="0"/>
            <w:textDirection w:val="tbRlV"/>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992" w:type="dxa"/>
            <w:vMerge w:val="continue"/>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992" w:type="dxa"/>
            <w:noWrap w:val="0"/>
            <w:vAlign w:val="top"/>
          </w:tcPr>
          <w:p>
            <w:pPr>
              <w:widowControl/>
              <w:kinsoku w:val="0"/>
              <w:autoSpaceDE w:val="0"/>
              <w:autoSpaceDN w:val="0"/>
              <w:adjustRightInd w:val="0"/>
              <w:snapToGrid w:val="0"/>
              <w:spacing w:before="161" w:line="220" w:lineRule="auto"/>
              <w:ind w:left="131"/>
              <w:jc w:val="left"/>
              <w:textAlignment w:val="baseline"/>
              <w:rPr>
                <w:rFonts w:ascii="宋体" w:hAnsi="宋体" w:eastAsia="宋体" w:cs="宋体"/>
                <w:snapToGrid w:val="0"/>
                <w:color w:val="000000"/>
                <w:spacing w:val="-3"/>
                <w:kern w:val="0"/>
                <w:sz w:val="20"/>
                <w:szCs w:val="20"/>
              </w:rPr>
            </w:pPr>
            <w:r>
              <w:rPr>
                <w:rFonts w:hint="eastAsia" w:ascii="宋体" w:hAnsi="宋体" w:eastAsia="宋体" w:cs="宋体"/>
                <w:snapToGrid w:val="0"/>
                <w:color w:val="000000"/>
                <w:spacing w:val="-3"/>
                <w:kern w:val="0"/>
                <w:sz w:val="20"/>
                <w:szCs w:val="20"/>
              </w:rPr>
              <w:t>成本指标</w:t>
            </w:r>
          </w:p>
        </w:tc>
        <w:tc>
          <w:tcPr>
            <w:tcW w:w="1843" w:type="dxa"/>
            <w:gridSpan w:val="3"/>
            <w:noWrap w:val="0"/>
            <w:vAlign w:val="center"/>
          </w:tcPr>
          <w:p>
            <w:pPr>
              <w:widowControl/>
              <w:kinsoku w:val="0"/>
              <w:autoSpaceDE w:val="0"/>
              <w:autoSpaceDN w:val="0"/>
              <w:adjustRightInd w:val="0"/>
              <w:snapToGrid w:val="0"/>
              <w:spacing w:line="240" w:lineRule="exact"/>
              <w:jc w:val="left"/>
              <w:textAlignment w:val="baseline"/>
              <w:rPr>
                <w:rFonts w:ascii="宋体" w:hAnsi="宋体" w:eastAsia="宋体" w:cs="宋体"/>
                <w:snapToGrid w:val="0"/>
                <w:color w:val="000000"/>
                <w:spacing w:val="-2"/>
                <w:kern w:val="0"/>
                <w:sz w:val="20"/>
                <w:szCs w:val="20"/>
              </w:rPr>
            </w:pPr>
            <w:r>
              <w:rPr>
                <w:rFonts w:hint="eastAsia" w:ascii="宋体" w:hAnsi="宋体" w:eastAsia="宋体" w:cs="宋体"/>
                <w:snapToGrid w:val="0"/>
                <w:color w:val="000000"/>
                <w:spacing w:val="-2"/>
                <w:kern w:val="0"/>
                <w:sz w:val="20"/>
                <w:szCs w:val="20"/>
              </w:rPr>
              <w:t>控制在预算</w:t>
            </w:r>
            <w:r>
              <w:rPr>
                <w:rFonts w:hint="eastAsia" w:ascii="宋体" w:hAnsi="宋体" w:cs="宋体"/>
                <w:snapToGrid w:val="0"/>
                <w:color w:val="000000"/>
                <w:spacing w:val="-2"/>
                <w:kern w:val="0"/>
                <w:sz w:val="20"/>
                <w:szCs w:val="20"/>
              </w:rPr>
              <w:t>评审</w:t>
            </w:r>
            <w:r>
              <w:rPr>
                <w:rFonts w:hint="eastAsia" w:ascii="宋体" w:hAnsi="宋体" w:eastAsia="宋体" w:cs="宋体"/>
                <w:snapToGrid w:val="0"/>
                <w:color w:val="000000"/>
                <w:spacing w:val="-2"/>
                <w:kern w:val="0"/>
                <w:sz w:val="20"/>
                <w:szCs w:val="20"/>
              </w:rPr>
              <w:t>内</w:t>
            </w:r>
          </w:p>
        </w:tc>
        <w:tc>
          <w:tcPr>
            <w:tcW w:w="992" w:type="dxa"/>
            <w:noWrap w:val="0"/>
            <w:vAlign w:val="center"/>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ascii="Arial" w:hAnsi="Arial" w:cs="Arial"/>
                <w:snapToGrid w:val="0"/>
                <w:color w:val="000000"/>
                <w:kern w:val="0"/>
                <w:szCs w:val="21"/>
              </w:rPr>
              <w:t>172.58　</w:t>
            </w:r>
          </w:p>
        </w:tc>
        <w:tc>
          <w:tcPr>
            <w:tcW w:w="1559"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ascii="Arial" w:hAnsi="Arial" w:cs="Arial"/>
                <w:snapToGrid w:val="0"/>
                <w:color w:val="000000"/>
                <w:kern w:val="0"/>
                <w:szCs w:val="21"/>
              </w:rPr>
              <w:t>172.58</w:t>
            </w:r>
          </w:p>
        </w:tc>
        <w:tc>
          <w:tcPr>
            <w:tcW w:w="851"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12.5</w:t>
            </w:r>
          </w:p>
        </w:tc>
        <w:tc>
          <w:tcPr>
            <w:tcW w:w="567"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12.5</w:t>
            </w:r>
          </w:p>
        </w:tc>
        <w:tc>
          <w:tcPr>
            <w:tcW w:w="1031"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993" w:type="dxa"/>
            <w:vMerge w:val="continue"/>
            <w:noWrap w:val="0"/>
            <w:textDirection w:val="tbRlV"/>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992" w:type="dxa"/>
            <w:vMerge w:val="restart"/>
            <w:noWrap w:val="0"/>
            <w:vAlign w:val="top"/>
          </w:tcPr>
          <w:p>
            <w:pPr>
              <w:widowControl/>
              <w:kinsoku w:val="0"/>
              <w:autoSpaceDE w:val="0"/>
              <w:autoSpaceDN w:val="0"/>
              <w:adjustRightInd w:val="0"/>
              <w:snapToGrid w:val="0"/>
              <w:spacing w:line="264" w:lineRule="auto"/>
              <w:jc w:val="left"/>
              <w:textAlignment w:val="baseline"/>
              <w:rPr>
                <w:rFonts w:ascii="Arial" w:hAnsi="Arial" w:cs="Arial"/>
                <w:snapToGrid w:val="0"/>
                <w:color w:val="000000"/>
                <w:kern w:val="0"/>
                <w:szCs w:val="21"/>
              </w:rPr>
            </w:pPr>
          </w:p>
          <w:p>
            <w:pPr>
              <w:widowControl/>
              <w:kinsoku w:val="0"/>
              <w:autoSpaceDE w:val="0"/>
              <w:autoSpaceDN w:val="0"/>
              <w:adjustRightInd w:val="0"/>
              <w:snapToGrid w:val="0"/>
              <w:spacing w:before="65" w:line="220" w:lineRule="auto"/>
              <w:ind w:left="121"/>
              <w:jc w:val="left"/>
              <w:textAlignment w:val="baseline"/>
              <w:rPr>
                <w:rFonts w:ascii="宋体" w:hAnsi="宋体" w:eastAsia="宋体" w:cs="宋体"/>
                <w:snapToGrid w:val="0"/>
                <w:color w:val="000000"/>
                <w:kern w:val="0"/>
                <w:sz w:val="20"/>
                <w:szCs w:val="20"/>
              </w:rPr>
            </w:pPr>
            <w:r>
              <w:rPr>
                <w:rFonts w:hint="eastAsia" w:ascii="宋体" w:hAnsi="宋体" w:cs="宋体"/>
                <w:snapToGrid w:val="0"/>
                <w:color w:val="000000"/>
                <w:spacing w:val="1"/>
                <w:kern w:val="0"/>
                <w:sz w:val="20"/>
                <w:szCs w:val="20"/>
              </w:rPr>
              <w:t>效益指标</w:t>
            </w:r>
          </w:p>
          <w:p>
            <w:pPr>
              <w:widowControl/>
              <w:kinsoku w:val="0"/>
              <w:autoSpaceDE w:val="0"/>
              <w:autoSpaceDN w:val="0"/>
              <w:adjustRightInd w:val="0"/>
              <w:snapToGrid w:val="0"/>
              <w:spacing w:before="301" w:line="220" w:lineRule="auto"/>
              <w:ind w:left="221"/>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8"/>
                <w:kern w:val="0"/>
                <w:sz w:val="20"/>
                <w:szCs w:val="20"/>
              </w:rPr>
              <w:t>(30</w:t>
            </w:r>
            <w:r>
              <w:rPr>
                <w:rFonts w:hint="eastAsia" w:ascii="宋体" w:hAnsi="宋体" w:cs="宋体"/>
                <w:snapToGrid w:val="0"/>
                <w:color w:val="000000"/>
                <w:spacing w:val="8"/>
                <w:kern w:val="0"/>
                <w:sz w:val="20"/>
                <w:szCs w:val="20"/>
              </w:rPr>
              <w:t>分</w:t>
            </w:r>
            <w:r>
              <w:rPr>
                <w:rFonts w:ascii="宋体" w:hAnsi="宋体" w:eastAsia="宋体" w:cs="宋体"/>
                <w:snapToGrid w:val="0"/>
                <w:color w:val="000000"/>
                <w:spacing w:val="8"/>
                <w:kern w:val="0"/>
                <w:sz w:val="20"/>
                <w:szCs w:val="20"/>
              </w:rPr>
              <w:t>)</w:t>
            </w:r>
          </w:p>
        </w:tc>
        <w:tc>
          <w:tcPr>
            <w:tcW w:w="992" w:type="dxa"/>
            <w:noWrap w:val="0"/>
            <w:vAlign w:val="top"/>
          </w:tcPr>
          <w:p>
            <w:pPr>
              <w:widowControl/>
              <w:kinsoku w:val="0"/>
              <w:autoSpaceDE w:val="0"/>
              <w:autoSpaceDN w:val="0"/>
              <w:adjustRightInd w:val="0"/>
              <w:snapToGrid w:val="0"/>
              <w:spacing w:before="161" w:line="220" w:lineRule="auto"/>
              <w:ind w:left="131"/>
              <w:jc w:val="left"/>
              <w:textAlignment w:val="baseline"/>
              <w:rPr>
                <w:rFonts w:ascii="宋体" w:hAnsi="宋体" w:eastAsia="宋体" w:cs="宋体"/>
                <w:snapToGrid w:val="0"/>
                <w:color w:val="000000"/>
                <w:spacing w:val="-3"/>
                <w:kern w:val="0"/>
                <w:sz w:val="20"/>
                <w:szCs w:val="20"/>
              </w:rPr>
            </w:pPr>
            <w:r>
              <w:rPr>
                <w:rFonts w:hint="eastAsia" w:ascii="宋体" w:hAnsi="宋体" w:eastAsia="宋体" w:cs="宋体"/>
                <w:snapToGrid w:val="0"/>
                <w:color w:val="000000"/>
                <w:spacing w:val="-3"/>
                <w:kern w:val="0"/>
                <w:sz w:val="20"/>
                <w:szCs w:val="20"/>
              </w:rPr>
              <w:t>经济效益</w:t>
            </w:r>
          </w:p>
        </w:tc>
        <w:tc>
          <w:tcPr>
            <w:tcW w:w="1843" w:type="dxa"/>
            <w:gridSpan w:val="3"/>
            <w:noWrap w:val="0"/>
            <w:vAlign w:val="top"/>
          </w:tcPr>
          <w:p>
            <w:pPr>
              <w:widowControl/>
              <w:kinsoku w:val="0"/>
              <w:autoSpaceDE w:val="0"/>
              <w:autoSpaceDN w:val="0"/>
              <w:adjustRightInd w:val="0"/>
              <w:snapToGrid w:val="0"/>
              <w:jc w:val="left"/>
              <w:textAlignment w:val="baseline"/>
              <w:rPr>
                <w:rFonts w:hint="eastAsia" w:ascii="宋体" w:hAnsi="宋体" w:cs="宋体"/>
                <w:snapToGrid w:val="0"/>
                <w:color w:val="000000"/>
                <w:spacing w:val="-2"/>
                <w:kern w:val="0"/>
                <w:sz w:val="20"/>
                <w:szCs w:val="20"/>
              </w:rPr>
            </w:pPr>
            <w:r>
              <w:rPr>
                <w:rFonts w:hint="eastAsia" w:ascii="宋体" w:hAnsi="宋体" w:cs="宋体"/>
                <w:snapToGrid w:val="0"/>
                <w:color w:val="000000"/>
                <w:spacing w:val="-2"/>
                <w:kern w:val="0"/>
                <w:sz w:val="20"/>
                <w:szCs w:val="20"/>
              </w:rPr>
              <w:t>无</w:t>
            </w:r>
            <w:r>
              <w:rPr>
                <w:rFonts w:ascii="宋体" w:hAnsi="宋体" w:eastAsia="宋体" w:cs="宋体"/>
                <w:snapToGrid w:val="0"/>
                <w:color w:val="000000"/>
                <w:spacing w:val="-2"/>
                <w:kern w:val="0"/>
                <w:sz w:val="20"/>
                <w:szCs w:val="20"/>
              </w:rPr>
              <w:t>经济利益</w:t>
            </w:r>
            <w:r>
              <w:rPr>
                <w:rFonts w:hint="eastAsia" w:ascii="宋体" w:hAnsi="宋体" w:cs="宋体"/>
                <w:snapToGrid w:val="0"/>
                <w:color w:val="000000"/>
                <w:spacing w:val="-2"/>
                <w:kern w:val="0"/>
                <w:sz w:val="20"/>
                <w:szCs w:val="20"/>
              </w:rPr>
              <w:t>考核指标</w:t>
            </w:r>
          </w:p>
        </w:tc>
        <w:tc>
          <w:tcPr>
            <w:tcW w:w="992" w:type="dxa"/>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无</w:t>
            </w:r>
          </w:p>
        </w:tc>
        <w:tc>
          <w:tcPr>
            <w:tcW w:w="1559"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完成</w:t>
            </w:r>
          </w:p>
        </w:tc>
        <w:tc>
          <w:tcPr>
            <w:tcW w:w="851"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7.5</w:t>
            </w:r>
          </w:p>
        </w:tc>
        <w:tc>
          <w:tcPr>
            <w:tcW w:w="567"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7.5</w:t>
            </w:r>
          </w:p>
        </w:tc>
        <w:tc>
          <w:tcPr>
            <w:tcW w:w="1031"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 w:val="18"/>
                <w:szCs w:val="18"/>
              </w:rPr>
            </w:pPr>
            <w:r>
              <w:rPr>
                <w:rFonts w:hint="eastAsia" w:ascii="Arial" w:hAnsi="Arial" w:cs="Arial"/>
                <w:snapToGrid w:val="0"/>
                <w:color w:val="000000"/>
                <w:kern w:val="0"/>
                <w:sz w:val="18"/>
                <w:szCs w:val="18"/>
              </w:rPr>
              <w:t>无扣分事项视同完成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993" w:type="dxa"/>
            <w:vMerge w:val="continue"/>
            <w:noWrap w:val="0"/>
            <w:textDirection w:val="tbRlV"/>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992" w:type="dxa"/>
            <w:vMerge w:val="continue"/>
            <w:tcBorders>
              <w:bottom w:val="single" w:color="auto" w:sz="4" w:space="0"/>
            </w:tcBorders>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992" w:type="dxa"/>
            <w:tcBorders>
              <w:bottom w:val="single" w:color="auto" w:sz="4" w:space="0"/>
            </w:tcBorders>
            <w:noWrap w:val="0"/>
            <w:vAlign w:val="top"/>
          </w:tcPr>
          <w:p>
            <w:pPr>
              <w:widowControl/>
              <w:kinsoku w:val="0"/>
              <w:autoSpaceDE w:val="0"/>
              <w:autoSpaceDN w:val="0"/>
              <w:adjustRightInd w:val="0"/>
              <w:snapToGrid w:val="0"/>
              <w:spacing w:before="161" w:line="220" w:lineRule="auto"/>
              <w:ind w:left="131"/>
              <w:jc w:val="left"/>
              <w:textAlignment w:val="baseline"/>
              <w:rPr>
                <w:rFonts w:ascii="宋体" w:hAnsi="宋体" w:eastAsia="宋体" w:cs="宋体"/>
                <w:snapToGrid w:val="0"/>
                <w:color w:val="000000"/>
                <w:spacing w:val="-3"/>
                <w:kern w:val="0"/>
                <w:sz w:val="20"/>
                <w:szCs w:val="20"/>
              </w:rPr>
            </w:pPr>
            <w:r>
              <w:rPr>
                <w:rFonts w:hint="eastAsia" w:ascii="宋体" w:hAnsi="宋体" w:eastAsia="宋体" w:cs="宋体"/>
                <w:snapToGrid w:val="0"/>
                <w:color w:val="000000"/>
                <w:spacing w:val="-3"/>
                <w:kern w:val="0"/>
                <w:sz w:val="20"/>
                <w:szCs w:val="20"/>
              </w:rPr>
              <w:t>社会效益</w:t>
            </w:r>
          </w:p>
        </w:tc>
        <w:tc>
          <w:tcPr>
            <w:tcW w:w="1843" w:type="dxa"/>
            <w:gridSpan w:val="3"/>
            <w:noWrap w:val="0"/>
            <w:vAlign w:val="top"/>
          </w:tcPr>
          <w:p>
            <w:pPr>
              <w:widowControl/>
              <w:kinsoku w:val="0"/>
              <w:autoSpaceDE w:val="0"/>
              <w:autoSpaceDN w:val="0"/>
              <w:adjustRightInd w:val="0"/>
              <w:snapToGrid w:val="0"/>
              <w:jc w:val="center"/>
              <w:textAlignment w:val="baseline"/>
              <w:rPr>
                <w:rFonts w:ascii="宋体" w:hAnsi="宋体" w:cs="宋体"/>
                <w:snapToGrid w:val="0"/>
                <w:color w:val="000000"/>
                <w:spacing w:val="-2"/>
                <w:kern w:val="0"/>
                <w:sz w:val="20"/>
                <w:szCs w:val="20"/>
              </w:rPr>
            </w:pPr>
            <w:r>
              <w:rPr>
                <w:rFonts w:hint="eastAsia" w:ascii="宋体" w:hAnsi="宋体" w:eastAsia="宋体" w:cs="宋体"/>
                <w:snapToGrid w:val="0"/>
                <w:color w:val="000000"/>
                <w:spacing w:val="-2"/>
                <w:kern w:val="0"/>
                <w:sz w:val="20"/>
                <w:szCs w:val="20"/>
              </w:rPr>
              <w:t>做好城市功能分区，提高居民生活便捷</w:t>
            </w:r>
            <w:r>
              <w:rPr>
                <w:rFonts w:hint="eastAsia" w:ascii="宋体" w:hAnsi="宋体" w:cs="宋体"/>
                <w:snapToGrid w:val="0"/>
                <w:color w:val="000000"/>
                <w:spacing w:val="-2"/>
                <w:kern w:val="0"/>
                <w:sz w:val="20"/>
                <w:szCs w:val="20"/>
              </w:rPr>
              <w:t>性</w:t>
            </w:r>
          </w:p>
        </w:tc>
        <w:tc>
          <w:tcPr>
            <w:tcW w:w="992" w:type="dxa"/>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较好</w:t>
            </w:r>
          </w:p>
        </w:tc>
        <w:tc>
          <w:tcPr>
            <w:tcW w:w="1559"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完成</w:t>
            </w:r>
          </w:p>
        </w:tc>
        <w:tc>
          <w:tcPr>
            <w:tcW w:w="851"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7.5</w:t>
            </w:r>
          </w:p>
        </w:tc>
        <w:tc>
          <w:tcPr>
            <w:tcW w:w="567"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7.5</w:t>
            </w:r>
          </w:p>
        </w:tc>
        <w:tc>
          <w:tcPr>
            <w:tcW w:w="1031"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993" w:type="dxa"/>
            <w:vMerge w:val="continue"/>
            <w:noWrap w:val="0"/>
            <w:textDirection w:val="tbRlV"/>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992" w:type="dxa"/>
            <w:vMerge w:val="continue"/>
            <w:tcBorders>
              <w:top w:val="single" w:color="auto" w:sz="4" w:space="0"/>
            </w:tcBorders>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992" w:type="dxa"/>
            <w:tcBorders>
              <w:top w:val="single" w:color="auto" w:sz="4" w:space="0"/>
            </w:tcBorders>
            <w:noWrap w:val="0"/>
            <w:vAlign w:val="top"/>
          </w:tcPr>
          <w:p>
            <w:pPr>
              <w:widowControl/>
              <w:kinsoku w:val="0"/>
              <w:autoSpaceDE w:val="0"/>
              <w:autoSpaceDN w:val="0"/>
              <w:adjustRightInd w:val="0"/>
              <w:snapToGrid w:val="0"/>
              <w:spacing w:before="161" w:line="220" w:lineRule="auto"/>
              <w:ind w:left="131"/>
              <w:jc w:val="left"/>
              <w:textAlignment w:val="baseline"/>
              <w:rPr>
                <w:rFonts w:ascii="宋体" w:hAnsi="宋体" w:eastAsia="宋体" w:cs="宋体"/>
                <w:snapToGrid w:val="0"/>
                <w:color w:val="000000"/>
                <w:spacing w:val="-3"/>
                <w:kern w:val="0"/>
                <w:sz w:val="20"/>
                <w:szCs w:val="20"/>
              </w:rPr>
            </w:pPr>
            <w:r>
              <w:rPr>
                <w:rFonts w:hint="eastAsia" w:ascii="宋体" w:hAnsi="宋体" w:eastAsia="宋体" w:cs="宋体"/>
                <w:snapToGrid w:val="0"/>
                <w:color w:val="000000"/>
                <w:spacing w:val="-3"/>
                <w:kern w:val="0"/>
                <w:sz w:val="20"/>
                <w:szCs w:val="20"/>
              </w:rPr>
              <w:t>生态效益</w:t>
            </w:r>
          </w:p>
        </w:tc>
        <w:tc>
          <w:tcPr>
            <w:tcW w:w="1843" w:type="dxa"/>
            <w:gridSpan w:val="3"/>
            <w:noWrap w:val="0"/>
            <w:vAlign w:val="top"/>
          </w:tcPr>
          <w:p>
            <w:pPr>
              <w:widowControl/>
              <w:kinsoku w:val="0"/>
              <w:autoSpaceDE w:val="0"/>
              <w:autoSpaceDN w:val="0"/>
              <w:adjustRightInd w:val="0"/>
              <w:snapToGrid w:val="0"/>
              <w:jc w:val="center"/>
              <w:textAlignment w:val="baseline"/>
              <w:rPr>
                <w:rFonts w:ascii="宋体" w:hAnsi="宋体" w:eastAsia="宋体" w:cs="宋体"/>
                <w:snapToGrid w:val="0"/>
                <w:color w:val="000000"/>
                <w:spacing w:val="-2"/>
                <w:kern w:val="0"/>
                <w:sz w:val="20"/>
                <w:szCs w:val="20"/>
              </w:rPr>
            </w:pPr>
            <w:r>
              <w:rPr>
                <w:rFonts w:hint="eastAsia" w:ascii="宋体" w:hAnsi="宋体" w:eastAsia="宋体" w:cs="宋体"/>
                <w:snapToGrid w:val="0"/>
                <w:color w:val="000000"/>
                <w:spacing w:val="-2"/>
                <w:kern w:val="0"/>
                <w:sz w:val="20"/>
                <w:szCs w:val="20"/>
              </w:rPr>
              <w:t>耕地和永久基本农田保护目标实现度</w:t>
            </w:r>
          </w:p>
        </w:tc>
        <w:tc>
          <w:tcPr>
            <w:tcW w:w="992" w:type="dxa"/>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ascii="仿宋_GB2312" w:hAnsi="宋体" w:eastAsia="仿宋_GB2312" w:cs="仿宋_GB2312"/>
                <w:snapToGrid w:val="0"/>
                <w:color w:val="000000"/>
                <w:kern w:val="0"/>
                <w:sz w:val="24"/>
                <w:szCs w:val="24"/>
                <w:lang w:bidi="ar"/>
              </w:rPr>
              <w:t>≥9</w:t>
            </w:r>
            <w:r>
              <w:rPr>
                <w:rFonts w:hint="eastAsia" w:ascii="仿宋_GB2312" w:hAnsi="宋体" w:eastAsia="仿宋_GB2312" w:cs="仿宋_GB2312"/>
                <w:snapToGrid w:val="0"/>
                <w:color w:val="000000"/>
                <w:kern w:val="0"/>
                <w:sz w:val="24"/>
                <w:szCs w:val="24"/>
                <w:lang w:bidi="ar"/>
              </w:rPr>
              <w:t>0</w:t>
            </w:r>
            <w:r>
              <w:rPr>
                <w:rFonts w:ascii="仿宋_GB2312" w:hAnsi="宋体" w:eastAsia="仿宋_GB2312" w:cs="仿宋_GB2312"/>
                <w:snapToGrid w:val="0"/>
                <w:color w:val="000000"/>
                <w:kern w:val="0"/>
                <w:sz w:val="24"/>
                <w:szCs w:val="24"/>
                <w:lang w:bidi="ar"/>
              </w:rPr>
              <w:t>%</w:t>
            </w:r>
          </w:p>
        </w:tc>
        <w:tc>
          <w:tcPr>
            <w:tcW w:w="1559"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ascii="仿宋_GB2312" w:hAnsi="宋体" w:eastAsia="仿宋_GB2312" w:cs="仿宋_GB2312"/>
                <w:snapToGrid w:val="0"/>
                <w:color w:val="000000"/>
                <w:kern w:val="0"/>
                <w:sz w:val="24"/>
                <w:szCs w:val="24"/>
                <w:lang w:bidi="ar"/>
              </w:rPr>
              <w:t>≥98%</w:t>
            </w:r>
          </w:p>
        </w:tc>
        <w:tc>
          <w:tcPr>
            <w:tcW w:w="851"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7.5</w:t>
            </w:r>
          </w:p>
        </w:tc>
        <w:tc>
          <w:tcPr>
            <w:tcW w:w="567"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7.5</w:t>
            </w:r>
          </w:p>
        </w:tc>
        <w:tc>
          <w:tcPr>
            <w:tcW w:w="1031"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993" w:type="dxa"/>
            <w:vMerge w:val="continue"/>
            <w:noWrap w:val="0"/>
            <w:textDirection w:val="tbRlV"/>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992" w:type="dxa"/>
            <w:vMerge w:val="continue"/>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992" w:type="dxa"/>
            <w:noWrap w:val="0"/>
            <w:vAlign w:val="top"/>
          </w:tcPr>
          <w:p>
            <w:pPr>
              <w:widowControl/>
              <w:kinsoku w:val="0"/>
              <w:autoSpaceDE w:val="0"/>
              <w:autoSpaceDN w:val="0"/>
              <w:adjustRightInd w:val="0"/>
              <w:snapToGrid w:val="0"/>
              <w:spacing w:before="161" w:line="220" w:lineRule="auto"/>
              <w:ind w:left="131"/>
              <w:jc w:val="left"/>
              <w:textAlignment w:val="baseline"/>
              <w:rPr>
                <w:rFonts w:ascii="宋体" w:hAnsi="宋体" w:eastAsia="宋体" w:cs="宋体"/>
                <w:snapToGrid w:val="0"/>
                <w:color w:val="000000"/>
                <w:spacing w:val="-3"/>
                <w:kern w:val="0"/>
                <w:sz w:val="20"/>
                <w:szCs w:val="20"/>
              </w:rPr>
            </w:pPr>
            <w:r>
              <w:rPr>
                <w:rFonts w:hint="eastAsia" w:ascii="宋体" w:hAnsi="宋体" w:eastAsia="宋体" w:cs="宋体"/>
                <w:snapToGrid w:val="0"/>
                <w:color w:val="000000"/>
                <w:spacing w:val="-3"/>
                <w:kern w:val="0"/>
                <w:sz w:val="20"/>
                <w:szCs w:val="20"/>
              </w:rPr>
              <w:t>可持续影响</w:t>
            </w:r>
          </w:p>
        </w:tc>
        <w:tc>
          <w:tcPr>
            <w:tcW w:w="1843" w:type="dxa"/>
            <w:gridSpan w:val="3"/>
            <w:noWrap w:val="0"/>
            <w:vAlign w:val="center"/>
          </w:tcPr>
          <w:p>
            <w:pPr>
              <w:widowControl/>
              <w:kinsoku w:val="0"/>
              <w:autoSpaceDE w:val="0"/>
              <w:autoSpaceDN w:val="0"/>
              <w:adjustRightInd w:val="0"/>
              <w:snapToGrid w:val="0"/>
              <w:spacing w:line="240" w:lineRule="exact"/>
              <w:jc w:val="left"/>
              <w:textAlignment w:val="baseline"/>
              <w:rPr>
                <w:rFonts w:ascii="宋体" w:hAnsi="宋体" w:eastAsia="宋体" w:cs="宋体"/>
                <w:snapToGrid w:val="0"/>
                <w:color w:val="000000"/>
                <w:spacing w:val="-2"/>
                <w:kern w:val="0"/>
                <w:sz w:val="20"/>
                <w:szCs w:val="20"/>
              </w:rPr>
            </w:pPr>
            <w:r>
              <w:rPr>
                <w:rFonts w:hint="eastAsia" w:ascii="宋体" w:hAnsi="宋体" w:eastAsia="宋体" w:cs="宋体"/>
                <w:snapToGrid w:val="0"/>
                <w:color w:val="000000"/>
                <w:spacing w:val="-2"/>
                <w:kern w:val="0"/>
                <w:sz w:val="20"/>
                <w:szCs w:val="20"/>
              </w:rPr>
              <w:t>为岳阳市城市建设发展带来可持续的积极影响</w:t>
            </w:r>
          </w:p>
        </w:tc>
        <w:tc>
          <w:tcPr>
            <w:tcW w:w="992" w:type="dxa"/>
            <w:noWrap w:val="0"/>
            <w:vAlign w:val="top"/>
          </w:tcPr>
          <w:p>
            <w:pPr>
              <w:widowControl/>
              <w:kinsoku w:val="0"/>
              <w:autoSpaceDE w:val="0"/>
              <w:autoSpaceDN w:val="0"/>
              <w:adjustRightInd w:val="0"/>
              <w:snapToGrid w:val="0"/>
              <w:jc w:val="center"/>
              <w:textAlignment w:val="baseline"/>
              <w:rPr>
                <w:rFonts w:ascii="宋体" w:hAnsi="宋体" w:eastAsia="宋体" w:cs="宋体"/>
                <w:snapToGrid w:val="0"/>
                <w:color w:val="000000"/>
                <w:spacing w:val="-2"/>
                <w:kern w:val="0"/>
                <w:sz w:val="20"/>
                <w:szCs w:val="20"/>
              </w:rPr>
            </w:pPr>
            <w:r>
              <w:rPr>
                <w:rFonts w:hint="eastAsia" w:ascii="宋体" w:hAnsi="宋体" w:eastAsia="宋体" w:cs="宋体"/>
                <w:snapToGrid w:val="0"/>
                <w:color w:val="000000"/>
                <w:spacing w:val="-2"/>
                <w:kern w:val="0"/>
                <w:sz w:val="20"/>
                <w:szCs w:val="20"/>
              </w:rPr>
              <w:t>较好</w:t>
            </w:r>
          </w:p>
        </w:tc>
        <w:tc>
          <w:tcPr>
            <w:tcW w:w="1559" w:type="dxa"/>
            <w:gridSpan w:val="2"/>
            <w:noWrap w:val="0"/>
            <w:vAlign w:val="top"/>
          </w:tcPr>
          <w:p>
            <w:pPr>
              <w:widowControl/>
              <w:kinsoku w:val="0"/>
              <w:autoSpaceDE w:val="0"/>
              <w:autoSpaceDN w:val="0"/>
              <w:adjustRightInd w:val="0"/>
              <w:snapToGrid w:val="0"/>
              <w:jc w:val="center"/>
              <w:textAlignment w:val="baseline"/>
              <w:rPr>
                <w:rFonts w:ascii="宋体" w:hAnsi="宋体" w:eastAsia="宋体" w:cs="宋体"/>
                <w:snapToGrid w:val="0"/>
                <w:color w:val="000000"/>
                <w:spacing w:val="-2"/>
                <w:kern w:val="0"/>
                <w:sz w:val="20"/>
                <w:szCs w:val="20"/>
              </w:rPr>
            </w:pPr>
            <w:r>
              <w:rPr>
                <w:rFonts w:hint="eastAsia" w:ascii="宋体" w:hAnsi="宋体" w:eastAsia="宋体" w:cs="宋体"/>
                <w:snapToGrid w:val="0"/>
                <w:color w:val="000000"/>
                <w:spacing w:val="-2"/>
                <w:kern w:val="0"/>
                <w:sz w:val="20"/>
                <w:szCs w:val="20"/>
              </w:rPr>
              <w:t>完成</w:t>
            </w:r>
          </w:p>
        </w:tc>
        <w:tc>
          <w:tcPr>
            <w:tcW w:w="851"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7.5</w:t>
            </w:r>
          </w:p>
        </w:tc>
        <w:tc>
          <w:tcPr>
            <w:tcW w:w="567"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5.5</w:t>
            </w:r>
          </w:p>
        </w:tc>
        <w:tc>
          <w:tcPr>
            <w:tcW w:w="1031"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持续改善中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993" w:type="dxa"/>
            <w:vMerge w:val="continue"/>
            <w:noWrap w:val="0"/>
            <w:textDirection w:val="tbRlV"/>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c>
          <w:tcPr>
            <w:tcW w:w="992" w:type="dxa"/>
            <w:noWrap w:val="0"/>
            <w:vAlign w:val="top"/>
          </w:tcPr>
          <w:p>
            <w:pPr>
              <w:widowControl/>
              <w:kinsoku w:val="0"/>
              <w:autoSpaceDE w:val="0"/>
              <w:autoSpaceDN w:val="0"/>
              <w:adjustRightInd w:val="0"/>
              <w:snapToGrid w:val="0"/>
              <w:spacing w:before="67" w:line="219" w:lineRule="auto"/>
              <w:ind w:left="221"/>
              <w:jc w:val="left"/>
              <w:textAlignment w:val="baseline"/>
              <w:rPr>
                <w:rFonts w:ascii="宋体" w:hAnsi="宋体" w:eastAsia="宋体" w:cs="宋体"/>
                <w:snapToGrid w:val="0"/>
                <w:color w:val="000000"/>
                <w:kern w:val="0"/>
                <w:sz w:val="20"/>
                <w:szCs w:val="20"/>
              </w:rPr>
            </w:pPr>
            <w:r>
              <w:rPr>
                <w:rFonts w:hint="eastAsia" w:ascii="宋体" w:hAnsi="宋体" w:cs="宋体"/>
                <w:snapToGrid w:val="0"/>
                <w:color w:val="000000"/>
                <w:spacing w:val="-2"/>
                <w:kern w:val="0"/>
                <w:sz w:val="20"/>
                <w:szCs w:val="20"/>
              </w:rPr>
              <w:t>满意度</w:t>
            </w:r>
          </w:p>
          <w:p>
            <w:pPr>
              <w:widowControl/>
              <w:kinsoku w:val="0"/>
              <w:autoSpaceDE w:val="0"/>
              <w:autoSpaceDN w:val="0"/>
              <w:adjustRightInd w:val="0"/>
              <w:snapToGrid w:val="0"/>
              <w:spacing w:before="13" w:line="220" w:lineRule="auto"/>
              <w:ind w:left="321"/>
              <w:jc w:val="left"/>
              <w:textAlignment w:val="baseline"/>
              <w:rPr>
                <w:rFonts w:ascii="宋体" w:hAnsi="宋体" w:eastAsia="宋体" w:cs="宋体"/>
                <w:snapToGrid w:val="0"/>
                <w:color w:val="000000"/>
                <w:kern w:val="0"/>
                <w:sz w:val="20"/>
                <w:szCs w:val="20"/>
              </w:rPr>
            </w:pPr>
            <w:r>
              <w:rPr>
                <w:rFonts w:hint="eastAsia" w:ascii="宋体" w:hAnsi="宋体" w:cs="宋体"/>
                <w:snapToGrid w:val="0"/>
                <w:color w:val="000000"/>
                <w:spacing w:val="-3"/>
                <w:kern w:val="0"/>
                <w:sz w:val="20"/>
                <w:szCs w:val="20"/>
              </w:rPr>
              <w:t>指标</w:t>
            </w:r>
          </w:p>
          <w:p>
            <w:pPr>
              <w:widowControl/>
              <w:kinsoku w:val="0"/>
              <w:autoSpaceDE w:val="0"/>
              <w:autoSpaceDN w:val="0"/>
              <w:adjustRightInd w:val="0"/>
              <w:snapToGrid w:val="0"/>
              <w:spacing w:before="31" w:line="186" w:lineRule="auto"/>
              <w:ind w:left="221"/>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8"/>
                <w:kern w:val="0"/>
                <w:sz w:val="20"/>
                <w:szCs w:val="20"/>
              </w:rPr>
              <w:t>(10</w:t>
            </w:r>
            <w:r>
              <w:rPr>
                <w:rFonts w:hint="eastAsia" w:ascii="宋体" w:hAnsi="宋体" w:cs="宋体"/>
                <w:snapToGrid w:val="0"/>
                <w:color w:val="000000"/>
                <w:spacing w:val="8"/>
                <w:kern w:val="0"/>
                <w:sz w:val="20"/>
                <w:szCs w:val="20"/>
              </w:rPr>
              <w:t>分</w:t>
            </w:r>
            <w:r>
              <w:rPr>
                <w:rFonts w:ascii="宋体" w:hAnsi="宋体" w:eastAsia="宋体" w:cs="宋体"/>
                <w:snapToGrid w:val="0"/>
                <w:color w:val="000000"/>
                <w:spacing w:val="8"/>
                <w:kern w:val="0"/>
                <w:sz w:val="20"/>
                <w:szCs w:val="20"/>
              </w:rPr>
              <w:t>)</w:t>
            </w:r>
          </w:p>
        </w:tc>
        <w:tc>
          <w:tcPr>
            <w:tcW w:w="992" w:type="dxa"/>
            <w:noWrap w:val="0"/>
            <w:vAlign w:val="top"/>
          </w:tcPr>
          <w:p>
            <w:pPr>
              <w:widowControl/>
              <w:kinsoku w:val="0"/>
              <w:autoSpaceDE w:val="0"/>
              <w:autoSpaceDN w:val="0"/>
              <w:adjustRightInd w:val="0"/>
              <w:snapToGrid w:val="0"/>
              <w:spacing w:before="57" w:line="219" w:lineRule="auto"/>
              <w:ind w:firstLine="105" w:firstLineChars="5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满意度</w:t>
            </w:r>
          </w:p>
        </w:tc>
        <w:tc>
          <w:tcPr>
            <w:tcW w:w="1843" w:type="dxa"/>
            <w:gridSpan w:val="3"/>
            <w:noWrap w:val="0"/>
            <w:vAlign w:val="top"/>
          </w:tcPr>
          <w:p>
            <w:pPr>
              <w:widowControl/>
              <w:kinsoku w:val="0"/>
              <w:autoSpaceDE w:val="0"/>
              <w:autoSpaceDN w:val="0"/>
              <w:adjustRightInd w:val="0"/>
              <w:snapToGrid w:val="0"/>
              <w:jc w:val="left"/>
              <w:textAlignment w:val="baseline"/>
              <w:rPr>
                <w:rFonts w:ascii="宋体" w:hAnsi="宋体" w:eastAsia="宋体" w:cs="宋体"/>
                <w:snapToGrid w:val="0"/>
                <w:color w:val="000000"/>
                <w:spacing w:val="-2"/>
                <w:kern w:val="0"/>
                <w:sz w:val="20"/>
                <w:szCs w:val="20"/>
              </w:rPr>
            </w:pPr>
            <w:r>
              <w:rPr>
                <w:rFonts w:hint="eastAsia" w:ascii="宋体" w:hAnsi="宋体" w:eastAsia="宋体" w:cs="宋体"/>
                <w:snapToGrid w:val="0"/>
                <w:color w:val="000000"/>
                <w:spacing w:val="-2"/>
                <w:kern w:val="0"/>
                <w:sz w:val="20"/>
                <w:szCs w:val="20"/>
              </w:rPr>
              <w:t>服务对象满意度</w:t>
            </w:r>
          </w:p>
        </w:tc>
        <w:tc>
          <w:tcPr>
            <w:tcW w:w="992" w:type="dxa"/>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仿宋_GB2312" w:hAnsi="仿宋_GB2312" w:eastAsia="仿宋_GB2312" w:cs="仿宋_GB2312"/>
                <w:snapToGrid w:val="0"/>
                <w:color w:val="000000"/>
                <w:kern w:val="0"/>
                <w:szCs w:val="21"/>
              </w:rPr>
              <w:t>≥95%</w:t>
            </w:r>
          </w:p>
        </w:tc>
        <w:tc>
          <w:tcPr>
            <w:tcW w:w="1559"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90%</w:t>
            </w:r>
          </w:p>
        </w:tc>
        <w:tc>
          <w:tcPr>
            <w:tcW w:w="851"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10</w:t>
            </w:r>
          </w:p>
        </w:tc>
        <w:tc>
          <w:tcPr>
            <w:tcW w:w="567" w:type="dxa"/>
            <w:gridSpan w:val="2"/>
            <w:noWrap w:val="0"/>
            <w:vAlign w:val="top"/>
          </w:tcPr>
          <w:p>
            <w:pPr>
              <w:widowControl/>
              <w:kinsoku w:val="0"/>
              <w:autoSpaceDE w:val="0"/>
              <w:autoSpaceDN w:val="0"/>
              <w:adjustRightInd w:val="0"/>
              <w:snapToGrid w:val="0"/>
              <w:jc w:val="center"/>
              <w:textAlignment w:val="baseline"/>
              <w:rPr>
                <w:rFonts w:ascii="Arial" w:hAnsi="Arial" w:cs="Arial"/>
                <w:snapToGrid w:val="0"/>
                <w:color w:val="000000"/>
                <w:kern w:val="0"/>
                <w:szCs w:val="21"/>
              </w:rPr>
            </w:pPr>
            <w:r>
              <w:rPr>
                <w:rFonts w:hint="eastAsia" w:ascii="Arial" w:hAnsi="Arial" w:cs="Arial"/>
                <w:snapToGrid w:val="0"/>
                <w:color w:val="000000"/>
                <w:kern w:val="0"/>
                <w:szCs w:val="21"/>
              </w:rPr>
              <w:t>8</w:t>
            </w:r>
          </w:p>
        </w:tc>
        <w:tc>
          <w:tcPr>
            <w:tcW w:w="1031"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有待提升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371" w:type="dxa"/>
            <w:gridSpan w:val="9"/>
            <w:noWrap w:val="0"/>
            <w:vAlign w:val="top"/>
          </w:tcPr>
          <w:p>
            <w:pPr>
              <w:widowControl/>
              <w:kinsoku w:val="0"/>
              <w:autoSpaceDE w:val="0"/>
              <w:autoSpaceDN w:val="0"/>
              <w:adjustRightInd w:val="0"/>
              <w:snapToGrid w:val="0"/>
              <w:spacing w:before="48" w:line="200" w:lineRule="auto"/>
              <w:ind w:left="3145"/>
              <w:jc w:val="left"/>
              <w:textAlignment w:val="baseline"/>
              <w:rPr>
                <w:rFonts w:ascii="宋体" w:hAnsi="宋体" w:eastAsia="宋体" w:cs="宋体"/>
                <w:snapToGrid w:val="0"/>
                <w:color w:val="000000"/>
                <w:kern w:val="0"/>
                <w:sz w:val="20"/>
                <w:szCs w:val="20"/>
              </w:rPr>
            </w:pPr>
            <w:r>
              <w:rPr>
                <w:rFonts w:hint="eastAsia" w:ascii="宋体" w:hAnsi="宋体" w:cs="宋体"/>
                <w:snapToGrid w:val="0"/>
                <w:color w:val="000000"/>
                <w:spacing w:val="4"/>
                <w:kern w:val="0"/>
                <w:sz w:val="20"/>
                <w:szCs w:val="20"/>
              </w:rPr>
              <w:t>总分</w:t>
            </w:r>
          </w:p>
        </w:tc>
        <w:tc>
          <w:tcPr>
            <w:tcW w:w="851" w:type="dxa"/>
            <w:gridSpan w:val="2"/>
            <w:noWrap w:val="0"/>
            <w:vAlign w:val="top"/>
          </w:tcPr>
          <w:p>
            <w:pPr>
              <w:widowControl/>
              <w:kinsoku w:val="0"/>
              <w:autoSpaceDE w:val="0"/>
              <w:autoSpaceDN w:val="0"/>
              <w:adjustRightInd w:val="0"/>
              <w:snapToGrid w:val="0"/>
              <w:spacing w:before="118" w:line="146" w:lineRule="exact"/>
              <w:ind w:left="256"/>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spacing w:val="-6"/>
                <w:kern w:val="0"/>
                <w:position w:val="-3"/>
                <w:sz w:val="20"/>
                <w:szCs w:val="20"/>
              </w:rPr>
              <w:t>100</w:t>
            </w:r>
          </w:p>
        </w:tc>
        <w:tc>
          <w:tcPr>
            <w:tcW w:w="567" w:type="dxa"/>
            <w:gridSpan w:val="2"/>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r>
              <w:rPr>
                <w:rFonts w:hint="eastAsia" w:ascii="Arial" w:hAnsi="Arial" w:cs="Arial"/>
                <w:snapToGrid w:val="0"/>
                <w:color w:val="000000"/>
                <w:kern w:val="0"/>
                <w:szCs w:val="21"/>
              </w:rPr>
              <w:t>96</w:t>
            </w:r>
          </w:p>
        </w:tc>
        <w:tc>
          <w:tcPr>
            <w:tcW w:w="1031" w:type="dxa"/>
            <w:noWrap w:val="0"/>
            <w:vAlign w:val="top"/>
          </w:tcPr>
          <w:p>
            <w:pPr>
              <w:widowControl/>
              <w:kinsoku w:val="0"/>
              <w:autoSpaceDE w:val="0"/>
              <w:autoSpaceDN w:val="0"/>
              <w:adjustRightInd w:val="0"/>
              <w:snapToGrid w:val="0"/>
              <w:jc w:val="left"/>
              <w:textAlignment w:val="baseline"/>
              <w:rPr>
                <w:rFonts w:ascii="Arial" w:hAnsi="Arial" w:cs="Arial"/>
                <w:snapToGrid w:val="0"/>
                <w:color w:val="000000"/>
                <w:kern w:val="0"/>
                <w:szCs w:val="21"/>
              </w:rPr>
            </w:pPr>
          </w:p>
        </w:tc>
      </w:tr>
    </w:tbl>
    <w:p>
      <w:pPr>
        <w:jc w:val="center"/>
        <w:rPr>
          <w:rFonts w:ascii="仿宋" w:hAnsi="仿宋" w:eastAsia="仿宋" w:cs="仿宋"/>
          <w:snapToGrid w:val="0"/>
          <w:color w:val="000000"/>
          <w:spacing w:val="-23"/>
          <w:kern w:val="0"/>
          <w:sz w:val="22"/>
          <w:szCs w:val="22"/>
        </w:rPr>
      </w:pPr>
      <w:r>
        <w:rPr>
          <w:rFonts w:ascii="仿宋" w:hAnsi="仿宋" w:eastAsia="仿宋" w:cs="仿宋"/>
          <w:snapToGrid w:val="0"/>
          <w:color w:val="000000"/>
          <w:spacing w:val="-23"/>
          <w:kern w:val="0"/>
          <w:sz w:val="22"/>
          <w:szCs w:val="22"/>
        </w:rPr>
        <w:t>填表人：</w:t>
      </w:r>
      <w:r>
        <w:rPr>
          <w:rFonts w:hint="eastAsia" w:ascii="仿宋" w:hAnsi="仿宋" w:cs="仿宋"/>
          <w:snapToGrid w:val="0"/>
          <w:color w:val="000000"/>
          <w:spacing w:val="-23"/>
          <w:kern w:val="0"/>
          <w:sz w:val="22"/>
          <w:szCs w:val="22"/>
        </w:rPr>
        <w:t xml:space="preserve">                        </w:t>
      </w:r>
      <w:r>
        <w:rPr>
          <w:rFonts w:ascii="仿宋" w:hAnsi="仿宋" w:eastAsia="仿宋" w:cs="仿宋"/>
          <w:snapToGrid w:val="0"/>
          <w:color w:val="000000"/>
          <w:spacing w:val="-23"/>
          <w:kern w:val="0"/>
          <w:sz w:val="22"/>
          <w:szCs w:val="22"/>
        </w:rPr>
        <w:t>填报日期：</w:t>
      </w:r>
      <w:r>
        <w:rPr>
          <w:rFonts w:hint="eastAsia" w:ascii="仿宋" w:hAnsi="仿宋" w:cs="仿宋"/>
          <w:snapToGrid w:val="0"/>
          <w:color w:val="000000"/>
          <w:spacing w:val="-23"/>
          <w:kern w:val="0"/>
          <w:sz w:val="22"/>
          <w:szCs w:val="22"/>
        </w:rPr>
        <w:t xml:space="preserve">                      </w:t>
      </w:r>
      <w:r>
        <w:rPr>
          <w:rFonts w:ascii="仿宋" w:hAnsi="仿宋" w:eastAsia="仿宋" w:cs="仿宋"/>
          <w:snapToGrid w:val="0"/>
          <w:color w:val="000000"/>
          <w:spacing w:val="-23"/>
          <w:kern w:val="0"/>
          <w:sz w:val="22"/>
          <w:szCs w:val="22"/>
        </w:rPr>
        <w:t>联系电话：</w:t>
      </w:r>
      <w:r>
        <w:rPr>
          <w:rFonts w:hint="eastAsia" w:ascii="仿宋" w:hAnsi="仿宋" w:cs="仿宋"/>
          <w:snapToGrid w:val="0"/>
          <w:color w:val="000000"/>
          <w:spacing w:val="-23"/>
          <w:kern w:val="0"/>
          <w:sz w:val="22"/>
          <w:szCs w:val="22"/>
        </w:rPr>
        <w:t xml:space="preserve">               </w:t>
      </w:r>
      <w:r>
        <w:rPr>
          <w:rFonts w:ascii="仿宋" w:hAnsi="仿宋" w:eastAsia="仿宋" w:cs="仿宋"/>
          <w:snapToGrid w:val="0"/>
          <w:color w:val="000000"/>
          <w:spacing w:val="-23"/>
          <w:kern w:val="0"/>
          <w:sz w:val="22"/>
          <w:szCs w:val="22"/>
        </w:rPr>
        <w:t>单位负责人签字：</w:t>
      </w:r>
    </w:p>
    <w:p>
      <w:pPr>
        <w:rPr>
          <w:rFonts w:ascii="仿宋" w:hAnsi="仿宋" w:eastAsia="仿宋" w:cs="仿宋"/>
          <w:snapToGrid w:val="0"/>
          <w:color w:val="000000"/>
          <w:spacing w:val="-23"/>
          <w:kern w:val="0"/>
          <w:sz w:val="22"/>
          <w:szCs w:val="22"/>
        </w:rPr>
      </w:pPr>
      <w:r>
        <w:rPr>
          <w:rFonts w:ascii="仿宋" w:hAnsi="仿宋" w:eastAsia="仿宋" w:cs="仿宋"/>
          <w:snapToGrid w:val="0"/>
          <w:color w:val="000000"/>
          <w:spacing w:val="-23"/>
          <w:kern w:val="0"/>
          <w:sz w:val="22"/>
          <w:szCs w:val="22"/>
        </w:rPr>
        <w:br w:type="page"/>
      </w:r>
    </w:p>
    <w:p>
      <w:pPr>
        <w:pBdr>
          <w:top w:val="none" w:color="auto" w:sz="0" w:space="11"/>
          <w:bottom w:val="none" w:color="auto" w:sz="0" w:space="11"/>
        </w:pBdr>
        <w:spacing w:line="525" w:lineRule="atLeast"/>
        <w:ind w:firstLine="375"/>
        <w:jc w:val="center"/>
        <w:rPr>
          <w:rFonts w:ascii="宋体" w:hAnsi="宋体" w:eastAsia="宋体" w:cs="宋体"/>
          <w:b/>
          <w:bCs/>
          <w:color w:val="000000"/>
          <w:sz w:val="44"/>
          <w:szCs w:val="44"/>
          <w:lang w:val="en-US" w:eastAsia="zh-CN" w:bidi="ar-SA"/>
        </w:rPr>
      </w:pPr>
      <w:r>
        <w:rPr>
          <w:rFonts w:hint="eastAsia" w:ascii="宋体" w:hAnsi="宋体" w:eastAsia="宋体" w:cs="宋体"/>
          <w:b/>
          <w:bCs/>
          <w:color w:val="000000"/>
          <w:sz w:val="44"/>
          <w:szCs w:val="44"/>
          <w:lang w:val="en-US" w:eastAsia="zh-CN" w:bidi="ar-SA"/>
        </w:rPr>
        <w:t>2022年自然资源和规划局整体支出</w:t>
      </w:r>
    </w:p>
    <w:p>
      <w:pPr>
        <w:pBdr>
          <w:top w:val="none" w:color="auto" w:sz="0" w:space="11"/>
          <w:bottom w:val="none" w:color="auto" w:sz="0" w:space="11"/>
        </w:pBdr>
        <w:spacing w:line="525" w:lineRule="atLeast"/>
        <w:ind w:firstLine="375"/>
        <w:jc w:val="center"/>
        <w:rPr>
          <w:rFonts w:ascii="宋体" w:hAnsi="宋体" w:eastAsia="宋体" w:cs="宋体"/>
          <w:b/>
          <w:bCs/>
          <w:color w:val="000000"/>
          <w:sz w:val="44"/>
          <w:szCs w:val="44"/>
          <w:lang w:val="en-US" w:eastAsia="zh-CN" w:bidi="ar-SA"/>
        </w:rPr>
      </w:pPr>
      <w:r>
        <w:rPr>
          <w:rFonts w:ascii="宋体" w:hAnsi="宋体" w:eastAsia="宋体" w:cs="宋体"/>
          <w:b/>
          <w:bCs/>
          <w:color w:val="000000"/>
          <w:sz w:val="44"/>
          <w:szCs w:val="44"/>
          <w:lang w:val="en-US" w:eastAsia="zh-CN" w:bidi="ar-SA"/>
        </w:rPr>
        <w:t>绩效</w:t>
      </w:r>
      <w:r>
        <w:rPr>
          <w:rFonts w:hint="eastAsia" w:ascii="宋体" w:hAnsi="宋体" w:eastAsia="宋体" w:cs="宋体"/>
          <w:b/>
          <w:bCs/>
          <w:color w:val="000000"/>
          <w:sz w:val="44"/>
          <w:szCs w:val="44"/>
          <w:lang w:val="en-US" w:eastAsia="zh-CN" w:bidi="ar-SA"/>
        </w:rPr>
        <w:t>自评工作组成</w:t>
      </w:r>
    </w:p>
    <w:p>
      <w:pPr>
        <w:pBdr>
          <w:top w:val="none" w:color="auto" w:sz="0" w:space="11"/>
          <w:bottom w:val="none" w:color="auto" w:sz="0" w:space="11"/>
        </w:pBdr>
        <w:spacing w:line="525" w:lineRule="atLeast"/>
        <w:ind w:firstLine="375"/>
        <w:jc w:val="left"/>
        <w:rPr>
          <w:rFonts w:ascii="宋体" w:hAnsi="宋体" w:eastAsia="宋体" w:cs="宋体"/>
          <w:b w:val="0"/>
          <w:bCs w:val="0"/>
          <w:color w:val="000000"/>
          <w:sz w:val="32"/>
          <w:szCs w:val="32"/>
          <w:lang w:val="en-US" w:eastAsia="zh-CN" w:bidi="ar-SA"/>
        </w:rPr>
      </w:pPr>
      <w:r>
        <w:rPr>
          <w:rFonts w:ascii="宋体" w:hAnsi="宋体" w:eastAsia="宋体" w:cs="宋体"/>
          <w:b w:val="0"/>
          <w:bCs w:val="0"/>
          <w:color w:val="000000"/>
          <w:sz w:val="32"/>
          <w:szCs w:val="32"/>
          <w:lang w:val="en-US" w:eastAsia="zh-CN" w:bidi="ar-SA"/>
        </w:rPr>
        <w:t>为建立客观、公正的考核</w:t>
      </w:r>
      <w:r>
        <w:rPr>
          <w:rFonts w:hint="eastAsia" w:ascii="宋体" w:hAnsi="宋体" w:eastAsia="宋体" w:cs="宋体"/>
          <w:b w:val="0"/>
          <w:bCs w:val="0"/>
          <w:color w:val="000000"/>
          <w:sz w:val="32"/>
          <w:szCs w:val="32"/>
          <w:lang w:val="en-US" w:eastAsia="zh-CN" w:bidi="ar-SA"/>
        </w:rPr>
        <w:t>评价2022年自然资源和规划局整体支出绩效评价工作，提纲绩效评价的工作效率，现</w:t>
      </w:r>
      <w:r>
        <w:rPr>
          <w:rFonts w:ascii="宋体" w:hAnsi="宋体" w:eastAsia="宋体" w:cs="宋体"/>
          <w:b w:val="0"/>
          <w:bCs w:val="0"/>
          <w:color w:val="000000"/>
          <w:sz w:val="32"/>
          <w:szCs w:val="32"/>
          <w:lang w:val="en-US" w:eastAsia="zh-CN" w:bidi="ar-SA"/>
        </w:rPr>
        <w:t>决定成立</w:t>
      </w:r>
      <w:r>
        <w:rPr>
          <w:rFonts w:hint="eastAsia" w:ascii="宋体" w:hAnsi="宋体" w:eastAsia="宋体" w:cs="宋体"/>
          <w:b w:val="0"/>
          <w:bCs w:val="0"/>
          <w:color w:val="000000"/>
          <w:sz w:val="32"/>
          <w:szCs w:val="32"/>
          <w:lang w:val="en-US" w:eastAsia="zh-CN" w:bidi="ar-SA"/>
        </w:rPr>
        <w:t>2022年度</w:t>
      </w:r>
      <w:r>
        <w:rPr>
          <w:rFonts w:ascii="宋体" w:hAnsi="宋体" w:eastAsia="宋体" w:cs="宋体"/>
          <w:b w:val="0"/>
          <w:bCs w:val="0"/>
          <w:color w:val="000000"/>
          <w:sz w:val="32"/>
          <w:szCs w:val="32"/>
          <w:lang w:val="en-US" w:eastAsia="zh-CN" w:bidi="ar-SA"/>
        </w:rPr>
        <w:t>绩效</w:t>
      </w:r>
      <w:r>
        <w:rPr>
          <w:rFonts w:hint="eastAsia" w:ascii="宋体" w:hAnsi="宋体" w:eastAsia="宋体" w:cs="宋体"/>
          <w:b w:val="0"/>
          <w:bCs w:val="0"/>
          <w:color w:val="000000"/>
          <w:sz w:val="32"/>
          <w:szCs w:val="32"/>
          <w:lang w:val="en-US" w:eastAsia="zh-CN" w:bidi="ar-SA"/>
        </w:rPr>
        <w:t>自评</w:t>
      </w:r>
      <w:r>
        <w:rPr>
          <w:rFonts w:ascii="宋体" w:hAnsi="宋体" w:eastAsia="宋体" w:cs="宋体"/>
          <w:b w:val="0"/>
          <w:bCs w:val="0"/>
          <w:color w:val="000000"/>
          <w:sz w:val="32"/>
          <w:szCs w:val="32"/>
          <w:lang w:val="en-US" w:eastAsia="zh-CN" w:bidi="ar-SA"/>
        </w:rPr>
        <w:t xml:space="preserve">小组，小组成员如下: </w:t>
      </w:r>
    </w:p>
    <w:p>
      <w:pPr>
        <w:spacing w:line="525" w:lineRule="atLeast"/>
        <w:ind w:firstLine="375"/>
        <w:rPr>
          <w:rFonts w:ascii="宋体" w:hAnsi="宋体" w:eastAsia="宋体" w:cs="宋体"/>
          <w:color w:val="000000"/>
          <w:sz w:val="32"/>
          <w:szCs w:val="32"/>
          <w:lang w:val="en-US" w:eastAsia="zh-CN" w:bidi="ar-SA"/>
        </w:rPr>
      </w:pPr>
    </w:p>
    <w:p>
      <w:pPr>
        <w:spacing w:line="525" w:lineRule="atLeast"/>
        <w:ind w:firstLine="375"/>
        <w:rPr>
          <w:rFonts w:ascii="宋体" w:hAnsi="宋体" w:eastAsia="宋体" w:cs="宋体"/>
          <w:color w:val="000000"/>
          <w:sz w:val="32"/>
          <w:szCs w:val="32"/>
          <w:lang w:val="en-US" w:eastAsia="zh-CN" w:bidi="ar-SA"/>
        </w:rPr>
      </w:pPr>
      <w:r>
        <w:rPr>
          <w:rFonts w:ascii="宋体" w:hAnsi="宋体" w:eastAsia="宋体" w:cs="宋体"/>
          <w:color w:val="000000"/>
          <w:sz w:val="32"/>
          <w:szCs w:val="32"/>
          <w:lang w:val="en-US" w:eastAsia="zh-CN" w:bidi="ar-SA"/>
        </w:rPr>
        <w:t xml:space="preserve">组 长: </w:t>
      </w:r>
      <w:r>
        <w:rPr>
          <w:rFonts w:hint="eastAsia" w:ascii="宋体" w:hAnsi="宋体" w:eastAsia="宋体" w:cs="宋体"/>
          <w:color w:val="000000"/>
          <w:sz w:val="32"/>
          <w:szCs w:val="32"/>
          <w:lang w:val="en-US" w:eastAsia="zh-CN" w:bidi="ar-SA"/>
        </w:rPr>
        <w:t xml:space="preserve"> 杨晓</w:t>
      </w:r>
    </w:p>
    <w:p>
      <w:pPr>
        <w:spacing w:line="525" w:lineRule="atLeast"/>
        <w:ind w:firstLine="375"/>
        <w:rPr>
          <w:rFonts w:hint="eastAsia" w:ascii="宋体" w:hAnsi="宋体" w:eastAsia="宋体" w:cs="宋体"/>
          <w:color w:val="000000"/>
          <w:sz w:val="32"/>
          <w:szCs w:val="32"/>
          <w:lang w:val="en-US" w:eastAsia="zh-CN" w:bidi="ar-SA"/>
        </w:rPr>
      </w:pPr>
      <w:r>
        <w:rPr>
          <w:rFonts w:ascii="宋体" w:hAnsi="宋体" w:eastAsia="宋体" w:cs="宋体"/>
          <w:color w:val="000000"/>
          <w:sz w:val="32"/>
          <w:szCs w:val="32"/>
          <w:lang w:val="en-US" w:eastAsia="zh-CN" w:bidi="ar-SA"/>
        </w:rPr>
        <w:t>副组长:</w:t>
      </w:r>
      <w:r>
        <w:rPr>
          <w:rFonts w:hint="eastAsia" w:ascii="宋体" w:hAnsi="宋体" w:eastAsia="宋体" w:cs="宋体"/>
          <w:color w:val="000000"/>
          <w:sz w:val="32"/>
          <w:szCs w:val="32"/>
          <w:lang w:val="en-US" w:eastAsia="zh-CN" w:bidi="ar-SA"/>
        </w:rPr>
        <w:t xml:space="preserve"> 周红霞</w:t>
      </w:r>
    </w:p>
    <w:p>
      <w:pPr>
        <w:spacing w:line="525" w:lineRule="atLeast"/>
        <w:ind w:firstLine="375"/>
        <w:rPr>
          <w:rFonts w:ascii="宋体" w:hAnsi="宋体" w:eastAsia="宋体" w:cs="宋体"/>
          <w:color w:val="000000"/>
          <w:sz w:val="32"/>
          <w:szCs w:val="32"/>
          <w:lang w:val="en-US" w:eastAsia="zh-CN" w:bidi="ar-SA"/>
        </w:rPr>
      </w:pPr>
      <w:r>
        <w:rPr>
          <w:rFonts w:ascii="宋体" w:hAnsi="宋体" w:eastAsia="宋体" w:cs="宋体"/>
          <w:color w:val="000000"/>
          <w:sz w:val="32"/>
          <w:szCs w:val="32"/>
          <w:lang w:val="en-US" w:eastAsia="zh-CN" w:bidi="ar-SA"/>
        </w:rPr>
        <w:t>成 员:</w:t>
      </w:r>
      <w:r>
        <w:rPr>
          <w:rFonts w:hint="eastAsia" w:ascii="宋体" w:hAnsi="宋体" w:eastAsia="宋体" w:cs="宋体"/>
          <w:color w:val="000000"/>
          <w:sz w:val="32"/>
          <w:szCs w:val="32"/>
          <w:lang w:val="en-US" w:eastAsia="zh-CN" w:bidi="ar-SA"/>
        </w:rPr>
        <w:t xml:space="preserve">  李梦滢，</w:t>
      </w:r>
      <w:r>
        <w:rPr>
          <w:rFonts w:ascii="宋体" w:hAnsi="宋体" w:eastAsia="宋体" w:cs="宋体"/>
          <w:color w:val="000000"/>
          <w:sz w:val="32"/>
          <w:szCs w:val="32"/>
          <w:lang w:val="en-US" w:eastAsia="zh-CN" w:bidi="ar-SA"/>
        </w:rPr>
        <w:t xml:space="preserve"> </w:t>
      </w:r>
      <w:r>
        <w:rPr>
          <w:rFonts w:hint="eastAsia" w:ascii="宋体" w:hAnsi="宋体" w:eastAsia="宋体" w:cs="宋体"/>
          <w:color w:val="000000"/>
          <w:sz w:val="32"/>
          <w:szCs w:val="32"/>
          <w:lang w:val="en-US" w:eastAsia="zh-CN" w:bidi="ar-SA"/>
        </w:rPr>
        <w:t>杨越、毛程、孟梓林、刘雯</w:t>
      </w:r>
    </w:p>
    <w:p>
      <w:pPr>
        <w:spacing w:line="525" w:lineRule="atLeast"/>
        <w:ind w:firstLine="375"/>
        <w:rPr>
          <w:rFonts w:ascii="宋体" w:hAnsi="宋体" w:eastAsia="宋体" w:cs="宋体"/>
          <w:color w:val="000000"/>
          <w:sz w:val="32"/>
          <w:szCs w:val="32"/>
          <w:lang w:val="en-US" w:eastAsia="zh-CN" w:bidi="ar-SA"/>
        </w:rPr>
      </w:pPr>
    </w:p>
    <w:p>
      <w:pPr>
        <w:spacing w:line="525" w:lineRule="atLeast"/>
        <w:ind w:firstLine="375"/>
        <w:rPr>
          <w:rFonts w:ascii="宋体" w:hAnsi="宋体" w:eastAsia="宋体" w:cs="宋体"/>
          <w:color w:val="000000"/>
          <w:sz w:val="32"/>
          <w:szCs w:val="32"/>
          <w:lang w:val="en-US" w:eastAsia="zh-CN" w:bidi="ar-SA"/>
        </w:rPr>
      </w:pPr>
      <w:r>
        <w:rPr>
          <w:rFonts w:hint="eastAsia" w:ascii="宋体" w:hAnsi="宋体" w:eastAsia="宋体" w:cs="宋体"/>
          <w:color w:val="000000"/>
          <w:sz w:val="32"/>
          <w:szCs w:val="32"/>
          <w:lang w:val="en-US" w:eastAsia="zh-CN" w:bidi="ar-SA"/>
        </w:rPr>
        <w:t>工作</w:t>
      </w:r>
      <w:r>
        <w:rPr>
          <w:rFonts w:ascii="宋体" w:hAnsi="宋体" w:eastAsia="宋体" w:cs="宋体"/>
          <w:color w:val="000000"/>
          <w:sz w:val="32"/>
          <w:szCs w:val="32"/>
          <w:lang w:val="en-US" w:eastAsia="zh-CN" w:bidi="ar-SA"/>
        </w:rPr>
        <w:t>小组的主要职责是，研究和决定绩效</w:t>
      </w:r>
      <w:r>
        <w:rPr>
          <w:rFonts w:hint="eastAsia" w:ascii="宋体" w:hAnsi="宋体" w:eastAsia="宋体" w:cs="宋体"/>
          <w:color w:val="000000"/>
          <w:sz w:val="32"/>
          <w:szCs w:val="32"/>
          <w:lang w:val="en-US" w:eastAsia="zh-CN" w:bidi="ar-SA"/>
        </w:rPr>
        <w:t>评价工作</w:t>
      </w:r>
      <w:r>
        <w:rPr>
          <w:rFonts w:ascii="宋体" w:hAnsi="宋体" w:eastAsia="宋体" w:cs="宋体"/>
          <w:color w:val="000000"/>
          <w:sz w:val="32"/>
          <w:szCs w:val="32"/>
          <w:lang w:val="en-US" w:eastAsia="zh-CN" w:bidi="ar-SA"/>
        </w:rPr>
        <w:t>中的</w:t>
      </w:r>
      <w:r>
        <w:rPr>
          <w:rFonts w:hint="eastAsia" w:ascii="宋体" w:hAnsi="宋体" w:eastAsia="宋体" w:cs="宋体"/>
          <w:color w:val="000000"/>
          <w:sz w:val="32"/>
          <w:szCs w:val="32"/>
          <w:lang w:val="en-US" w:eastAsia="zh-CN" w:bidi="ar-SA"/>
        </w:rPr>
        <w:t>重要</w:t>
      </w:r>
      <w:r>
        <w:rPr>
          <w:rFonts w:ascii="宋体" w:hAnsi="宋体" w:eastAsia="宋体" w:cs="宋体"/>
          <w:color w:val="000000"/>
          <w:sz w:val="32"/>
          <w:szCs w:val="32"/>
          <w:lang w:val="en-US" w:eastAsia="zh-CN" w:bidi="ar-SA"/>
        </w:rPr>
        <w:t>问题，组织协调绩效</w:t>
      </w:r>
      <w:r>
        <w:rPr>
          <w:rFonts w:hint="eastAsia" w:ascii="宋体" w:hAnsi="宋体" w:eastAsia="宋体" w:cs="宋体"/>
          <w:color w:val="000000"/>
          <w:sz w:val="32"/>
          <w:szCs w:val="32"/>
          <w:lang w:val="en-US" w:eastAsia="zh-CN" w:bidi="ar-SA"/>
        </w:rPr>
        <w:t>评价</w:t>
      </w:r>
      <w:r>
        <w:rPr>
          <w:rFonts w:ascii="宋体" w:hAnsi="宋体" w:eastAsia="宋体" w:cs="宋体"/>
          <w:color w:val="000000"/>
          <w:sz w:val="32"/>
          <w:szCs w:val="32"/>
          <w:lang w:val="en-US" w:eastAsia="zh-CN" w:bidi="ar-SA"/>
        </w:rPr>
        <w:t>工作，</w:t>
      </w:r>
      <w:r>
        <w:rPr>
          <w:rFonts w:hint="eastAsia" w:ascii="宋体" w:hAnsi="宋体" w:eastAsia="宋体" w:cs="宋体"/>
          <w:color w:val="000000"/>
          <w:sz w:val="32"/>
          <w:szCs w:val="32"/>
          <w:lang w:val="en-US" w:eastAsia="zh-CN" w:bidi="ar-SA"/>
        </w:rPr>
        <w:t>指导第三方的绩效评价工作，及时解决工作的存在困难疑惑，负责审核绩效评价工作报告及相关资料。</w:t>
      </w:r>
    </w:p>
    <w:p>
      <w:pPr>
        <w:spacing w:line="525" w:lineRule="atLeast"/>
        <w:ind w:firstLine="375"/>
        <w:rPr>
          <w:rFonts w:ascii="宋体" w:hAnsi="宋体" w:eastAsia="宋体" w:cs="宋体"/>
          <w:color w:val="000000"/>
          <w:sz w:val="32"/>
          <w:szCs w:val="32"/>
          <w:lang w:val="en-US" w:eastAsia="zh-CN" w:bidi="ar-SA"/>
        </w:rPr>
      </w:pPr>
    </w:p>
    <w:p>
      <w:pPr>
        <w:spacing w:line="525" w:lineRule="atLeast"/>
        <w:ind w:firstLine="375"/>
        <w:rPr>
          <w:rFonts w:ascii="宋体" w:hAnsi="宋体" w:eastAsia="宋体" w:cs="宋体"/>
          <w:color w:val="000000"/>
          <w:sz w:val="32"/>
          <w:szCs w:val="32"/>
          <w:lang w:val="en-US" w:eastAsia="zh-CN" w:bidi="ar-SA"/>
        </w:rPr>
      </w:pPr>
    </w:p>
    <w:p>
      <w:pPr>
        <w:spacing w:line="525" w:lineRule="atLeast"/>
        <w:ind w:firstLine="375"/>
        <w:rPr>
          <w:rFonts w:ascii="宋体" w:hAnsi="宋体" w:eastAsia="宋体" w:cs="宋体"/>
          <w:color w:val="000000"/>
          <w:sz w:val="32"/>
          <w:szCs w:val="32"/>
          <w:lang w:val="en-US" w:eastAsia="zh-CN" w:bidi="ar-SA"/>
        </w:rPr>
      </w:pPr>
      <w:r>
        <w:rPr>
          <w:rFonts w:hint="eastAsia" w:ascii="宋体" w:hAnsi="宋体" w:eastAsia="宋体" w:cs="宋体"/>
          <w:color w:val="000000"/>
          <w:sz w:val="32"/>
          <w:szCs w:val="32"/>
          <w:lang w:val="en-US" w:eastAsia="zh-CN" w:bidi="ar-SA"/>
        </w:rPr>
        <w:t xml:space="preserve">                              二〇二三年七月二日</w:t>
      </w:r>
    </w:p>
    <w:p>
      <w:pPr>
        <w:rPr>
          <w:rFonts w:ascii="仿宋" w:hAnsi="仿宋" w:eastAsia="仿宋" w:cs="仿宋"/>
          <w:snapToGrid w:val="0"/>
          <w:color w:val="000000"/>
          <w:spacing w:val="-23"/>
          <w:kern w:val="0"/>
          <w:sz w:val="22"/>
          <w:szCs w:val="22"/>
        </w:rPr>
      </w:pPr>
    </w:p>
    <w:sectPr>
      <w:footerReference r:id="rId4"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83" w:lineRule="auto"/>
      <w:ind w:left="614"/>
      <w:jc w:val="left"/>
      <w:textAlignment w:val="baseline"/>
      <w:rPr>
        <w:rFonts w:ascii="宋体" w:hAnsi="宋体" w:eastAsia="宋体" w:cs="宋体"/>
        <w:snapToGrid w:val="0"/>
        <w:color w:val="000000"/>
        <w:kern w:val="0"/>
        <w:sz w:val="26"/>
        <w:szCs w:val="26"/>
      </w:rPr>
    </w:pPr>
    <w:r>
      <w:rPr>
        <w:rFonts w:ascii="宋体" w:hAnsi="宋体" w:eastAsia="宋体" w:cs="宋体"/>
        <w:snapToGrid w:val="0"/>
        <w:color w:val="000000"/>
        <w:spacing w:val="-3"/>
        <w:kern w:val="0"/>
        <w:sz w:val="26"/>
        <w:szCs w:val="2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21536"/>
      <w:docPartObj>
        <w:docPartGallery w:val="autotext"/>
      </w:docPartObj>
    </w:sdtPr>
    <w:sdtContent>
      <w:p>
        <w:pPr>
          <w:pStyle w:val="5"/>
          <w:jc w:val="center"/>
        </w:pPr>
        <w:r>
          <w:fldChar w:fldCharType="begin"/>
        </w:r>
        <w:r>
          <w:instrText xml:space="preserve"> PAGE   \* MERGEFORMAT </w:instrText>
        </w:r>
        <w:r>
          <w:fldChar w:fldCharType="separate"/>
        </w:r>
        <w:r>
          <w:rPr>
            <w:lang w:val="zh-CN"/>
          </w:rPr>
          <w:t>18</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0876AE"/>
    <w:multiLevelType w:val="singleLevel"/>
    <w:tmpl w:val="B10876AE"/>
    <w:lvl w:ilvl="0" w:tentative="0">
      <w:start w:val="1"/>
      <w:numFmt w:val="decimal"/>
      <w:suff w:val="nothing"/>
      <w:lvlText w:val="（%1）"/>
      <w:lvlJc w:val="left"/>
    </w:lvl>
  </w:abstractNum>
  <w:abstractNum w:abstractNumId="1">
    <w:nsid w:val="E0E9ED79"/>
    <w:multiLevelType w:val="singleLevel"/>
    <w:tmpl w:val="E0E9ED79"/>
    <w:lvl w:ilvl="0" w:tentative="0">
      <w:start w:val="2"/>
      <w:numFmt w:val="decimal"/>
      <w:suff w:val="nothing"/>
      <w:lvlText w:val="%1、"/>
      <w:lvlJc w:val="left"/>
    </w:lvl>
  </w:abstractNum>
  <w:abstractNum w:abstractNumId="2">
    <w:nsid w:val="0229B9FA"/>
    <w:multiLevelType w:val="singleLevel"/>
    <w:tmpl w:val="0229B9FA"/>
    <w:lvl w:ilvl="0" w:tentative="0">
      <w:start w:val="2"/>
      <w:numFmt w:val="decimal"/>
      <w:suff w:val="nothing"/>
      <w:lvlText w:val="%1、"/>
      <w:lvlJc w:val="left"/>
    </w:lvl>
  </w:abstractNum>
  <w:abstractNum w:abstractNumId="3">
    <w:nsid w:val="7A2B7A44"/>
    <w:multiLevelType w:val="singleLevel"/>
    <w:tmpl w:val="7A2B7A44"/>
    <w:lvl w:ilvl="0" w:tentative="0">
      <w:start w:val="2"/>
      <w:numFmt w:val="chineseCounting"/>
      <w:suff w:val="nothing"/>
      <w:lvlText w:val="（%1）"/>
      <w:lvlJc w:val="left"/>
      <w:pPr>
        <w:ind w:left="630" w:firstLine="0"/>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VhM2RiODNhYzYwODk5ZTg2MTVmODIyMGIzNjA1OGYifQ=="/>
  </w:docVars>
  <w:rsids>
    <w:rsidRoot w:val="003016EA"/>
    <w:rsid w:val="00035561"/>
    <w:rsid w:val="000B3974"/>
    <w:rsid w:val="000D5A84"/>
    <w:rsid w:val="00152BF2"/>
    <w:rsid w:val="001E7496"/>
    <w:rsid w:val="00283511"/>
    <w:rsid w:val="003016EA"/>
    <w:rsid w:val="00370BB8"/>
    <w:rsid w:val="003F701D"/>
    <w:rsid w:val="0041501B"/>
    <w:rsid w:val="0044196D"/>
    <w:rsid w:val="00450281"/>
    <w:rsid w:val="00465C81"/>
    <w:rsid w:val="005922D0"/>
    <w:rsid w:val="005E69D0"/>
    <w:rsid w:val="00631DB9"/>
    <w:rsid w:val="0072503B"/>
    <w:rsid w:val="00737AD8"/>
    <w:rsid w:val="00793712"/>
    <w:rsid w:val="00865B0D"/>
    <w:rsid w:val="00886A76"/>
    <w:rsid w:val="008D3819"/>
    <w:rsid w:val="00920DC6"/>
    <w:rsid w:val="009358D4"/>
    <w:rsid w:val="0093756D"/>
    <w:rsid w:val="009627C3"/>
    <w:rsid w:val="009C1F68"/>
    <w:rsid w:val="009C3320"/>
    <w:rsid w:val="009D7BD1"/>
    <w:rsid w:val="009F1137"/>
    <w:rsid w:val="00A054C7"/>
    <w:rsid w:val="00A327FB"/>
    <w:rsid w:val="00A65CFF"/>
    <w:rsid w:val="00A93F28"/>
    <w:rsid w:val="00B030ED"/>
    <w:rsid w:val="00B15DA3"/>
    <w:rsid w:val="00C158FC"/>
    <w:rsid w:val="00C30CC6"/>
    <w:rsid w:val="00C72DF3"/>
    <w:rsid w:val="00D46C60"/>
    <w:rsid w:val="00D8356A"/>
    <w:rsid w:val="00D9138E"/>
    <w:rsid w:val="00ED66FA"/>
    <w:rsid w:val="00F25369"/>
    <w:rsid w:val="00F42EAF"/>
    <w:rsid w:val="00FD21F2"/>
    <w:rsid w:val="01BF20E7"/>
    <w:rsid w:val="023F2212"/>
    <w:rsid w:val="03AE2769"/>
    <w:rsid w:val="0F074A5C"/>
    <w:rsid w:val="198804EA"/>
    <w:rsid w:val="19F02D3B"/>
    <w:rsid w:val="22744F88"/>
    <w:rsid w:val="294C5AD2"/>
    <w:rsid w:val="2A5266DF"/>
    <w:rsid w:val="2B2344CB"/>
    <w:rsid w:val="36C74AA1"/>
    <w:rsid w:val="38771A42"/>
    <w:rsid w:val="3B50049F"/>
    <w:rsid w:val="3C3F6F32"/>
    <w:rsid w:val="3EE07FEF"/>
    <w:rsid w:val="44657AF6"/>
    <w:rsid w:val="4D387556"/>
    <w:rsid w:val="52946FDD"/>
    <w:rsid w:val="54A772FA"/>
    <w:rsid w:val="5837374A"/>
    <w:rsid w:val="68722F75"/>
    <w:rsid w:val="6D997858"/>
    <w:rsid w:val="72404633"/>
    <w:rsid w:val="7495569F"/>
    <w:rsid w:val="76A74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unhideWhenUsed/>
    <w:qFormat/>
    <w:uiPriority w:val="99"/>
    <w:pPr>
      <w:spacing w:after="120"/>
    </w:pPr>
  </w:style>
  <w:style w:type="paragraph" w:styleId="3">
    <w:name w:val="Body Text Indent"/>
    <w:basedOn w:val="1"/>
    <w:link w:val="13"/>
    <w:semiHidden/>
    <w:unhideWhenUsed/>
    <w:qFormat/>
    <w:uiPriority w:val="99"/>
    <w:pPr>
      <w:spacing w:after="120"/>
      <w:ind w:left="420" w:leftChars="200"/>
    </w:pPr>
  </w:style>
  <w:style w:type="paragraph" w:styleId="4">
    <w:name w:val="toc 5"/>
    <w:basedOn w:val="1"/>
    <w:next w:val="1"/>
    <w:qFormat/>
    <w:uiPriority w:val="0"/>
    <w:pPr>
      <w:ind w:left="1680" w:leftChars="800"/>
    </w:p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link w:val="14"/>
    <w:unhideWhenUsed/>
    <w:qFormat/>
    <w:uiPriority w:val="99"/>
    <w:pPr>
      <w:ind w:firstLine="420" w:firstLineChars="200"/>
    </w:p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正文文本 Char"/>
    <w:basedOn w:val="9"/>
    <w:link w:val="2"/>
    <w:qFormat/>
    <w:uiPriority w:val="99"/>
    <w:rPr>
      <w:rFonts w:ascii="Times New Roman" w:hAnsi="Times New Roman" w:eastAsia="宋体" w:cs="Times New Roman"/>
      <w:szCs w:val="24"/>
    </w:rPr>
  </w:style>
  <w:style w:type="character" w:customStyle="1" w:styleId="13">
    <w:name w:val="正文文本缩进 Char"/>
    <w:basedOn w:val="9"/>
    <w:link w:val="3"/>
    <w:semiHidden/>
    <w:qFormat/>
    <w:uiPriority w:val="99"/>
    <w:rPr>
      <w:rFonts w:ascii="Times New Roman" w:hAnsi="Times New Roman" w:eastAsia="宋体" w:cs="Times New Roman"/>
      <w:szCs w:val="24"/>
    </w:rPr>
  </w:style>
  <w:style w:type="character" w:customStyle="1" w:styleId="14">
    <w:name w:val="正文首行缩进 2 Char"/>
    <w:basedOn w:val="13"/>
    <w:link w:val="7"/>
    <w:qFormat/>
    <w:uiPriority w:val="99"/>
  </w:style>
  <w:style w:type="character" w:customStyle="1" w:styleId="15">
    <w:name w:val="UserStyle_0"/>
    <w:link w:val="16"/>
    <w:qFormat/>
    <w:uiPriority w:val="0"/>
    <w:rPr>
      <w:kern w:val="2"/>
      <w:sz w:val="21"/>
      <w:szCs w:val="24"/>
      <w:lang w:val="en-US" w:eastAsia="zh-CN" w:bidi="ar-SA"/>
    </w:rPr>
  </w:style>
  <w:style w:type="paragraph" w:customStyle="1" w:styleId="16">
    <w:name w:val="UserStyle_1"/>
    <w:basedOn w:val="1"/>
    <w:link w:val="15"/>
    <w:qFormat/>
    <w:uiPriority w:val="0"/>
    <w:pPr>
      <w:spacing w:line="360" w:lineRule="auto"/>
      <w:textAlignment w:val="baseline"/>
    </w:pPr>
    <w:rPr>
      <w:rFonts w:asciiTheme="minorHAnsi" w:hAnsiTheme="minorHAnsi" w:eastAsiaTheme="minorEastAsia" w:cstheme="minorBidi"/>
    </w:rPr>
  </w:style>
  <w:style w:type="character" w:customStyle="1" w:styleId="17">
    <w:name w:val="NormalCharacter"/>
    <w:link w:val="18"/>
    <w:qFormat/>
    <w:uiPriority w:val="0"/>
    <w:rPr>
      <w:rFonts w:ascii="Calibri" w:hAnsi="Calibri"/>
      <w:szCs w:val="24"/>
    </w:rPr>
  </w:style>
  <w:style w:type="paragraph" w:customStyle="1" w:styleId="18">
    <w:name w:val="UserStyle_2"/>
    <w:basedOn w:val="1"/>
    <w:link w:val="17"/>
    <w:qFormat/>
    <w:uiPriority w:val="0"/>
    <w:pPr>
      <w:spacing w:line="360" w:lineRule="auto"/>
      <w:textAlignment w:val="baseline"/>
    </w:pPr>
    <w:rPr>
      <w:rFonts w:ascii="Calibri" w:hAnsi="Calibri" w:eastAsiaTheme="minorEastAsia" w:cstheme="minorBidi"/>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9848</Words>
  <Characters>10474</Characters>
  <Lines>78</Lines>
  <Paragraphs>22</Paragraphs>
  <TotalTime>1</TotalTime>
  <ScaleCrop>false</ScaleCrop>
  <LinksUpToDate>false</LinksUpToDate>
  <CharactersWithSpaces>10509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2023-07-07T03:20:00Z</dcterms:created>
  <dc:creator>Windows 用户</dc:creator>
  <cp:lastModifiedBy>Gat</cp:lastModifiedBy>
  <dcterms:modified xsi:type="dcterms:W3CDTF">2023-10-26T08:01:12Z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E08E4F2CC509474181D0472EE44D3486_12</vt:lpwstr>
  </property>
</Properties>
</file>