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880" w:lineRule="exact"/>
        <w:ind w:firstLine="0" w:firstLineChars="0"/>
        <w:jc w:val="distribute"/>
        <w:outlineLvl w:val="0"/>
        <w:rPr>
          <w:rFonts w:ascii="Times New Roman" w:hAnsi="Times New Roman" w:eastAsia="黑体" w:cs="Times New Roman"/>
          <w:b/>
          <w:spacing w:val="26"/>
          <w:w w:val="70"/>
          <w:kern w:val="0"/>
          <w:sz w:val="66"/>
          <w:szCs w:val="66"/>
        </w:rPr>
      </w:pPr>
      <w:bookmarkStart w:id="0" w:name="_Toc61"/>
      <w:bookmarkStart w:id="1" w:name="_Toc23973"/>
      <w:bookmarkStart w:id="2" w:name="_Toc9297"/>
      <w:bookmarkStart w:id="3" w:name="_Toc14090"/>
      <w:bookmarkStart w:id="4" w:name="_Toc2509"/>
      <w:r>
        <w:rPr>
          <w:rFonts w:ascii="Times New Roman" w:hAnsi="Times New Roman" w:eastAsia="黑体" w:cs="Times New Roman"/>
          <w:b/>
          <w:w w:val="70"/>
          <w:kern w:val="0"/>
          <w:sz w:val="66"/>
          <w:szCs w:val="66"/>
        </w:rPr>
        <w:t>湖南中智诚联合会计师事务</w:t>
      </w:r>
      <w:r>
        <w:rPr>
          <w:rFonts w:ascii="Times New Roman" w:hAnsi="Times New Roman" w:eastAsia="黑体" w:cs="Times New Roman"/>
          <w:b/>
          <w:spacing w:val="26"/>
          <w:w w:val="70"/>
          <w:kern w:val="0"/>
          <w:sz w:val="66"/>
          <w:szCs w:val="66"/>
        </w:rPr>
        <w:t>所</w:t>
      </w:r>
      <w:bookmarkEnd w:id="0"/>
      <w:bookmarkEnd w:id="1"/>
      <w:bookmarkEnd w:id="2"/>
      <w:bookmarkEnd w:id="3"/>
      <w:bookmarkEnd w:id="4"/>
    </w:p>
    <w:p>
      <w:pPr>
        <w:spacing w:after="156" w:afterLines="50" w:line="700" w:lineRule="exact"/>
        <w:jc w:val="center"/>
        <w:rPr>
          <w:rFonts w:ascii="Times New Roman" w:hAnsi="Times New Roman" w:eastAsia="黑体" w:cs="Times New Roman"/>
          <w:color w:val="000000"/>
          <w:spacing w:val="30"/>
          <w:sz w:val="30"/>
          <w:szCs w:val="30"/>
        </w:rPr>
      </w:pPr>
      <w:r>
        <w:rPr>
          <w:rFonts w:ascii="Times New Roman" w:hAnsi="Times New Roman" w:eastAsia="黑体" w:cs="Times New Roman"/>
          <w:color w:val="000000"/>
          <w:spacing w:val="30"/>
          <w:sz w:val="30"/>
          <w:szCs w:val="30"/>
        </w:rPr>
        <w:t>HUNAN ZHONGZHICHENG UNITED C.P.A OFFICE</w:t>
      </w:r>
    </w:p>
    <w:p>
      <w:pPr>
        <w:spacing w:after="312" w:afterLines="100"/>
        <w:jc w:val="center"/>
        <w:rPr>
          <w:rFonts w:ascii="宋体" w:hAnsi="宋体" w:eastAsia="宋体" w:cs="宋体"/>
          <w:spacing w:val="20"/>
          <w:w w:val="90"/>
          <w:kern w:val="0"/>
          <w:position w:val="-6"/>
          <w:sz w:val="22"/>
        </w:rPr>
      </w:pPr>
      <w:r>
        <w:rPr>
          <w:rFonts w:hint="eastAsia" w:ascii="宋体" w:hAnsi="宋体" w:eastAsia="宋体" w:cs="宋体"/>
          <w:spacing w:val="20"/>
          <w:w w:val="90"/>
          <w:kern w:val="0"/>
          <w:position w:val="-6"/>
          <w:sz w:val="22"/>
        </w:rPr>
        <w:t>湘中智诚所〔202</w:t>
      </w:r>
      <w:r>
        <w:rPr>
          <w:rFonts w:hint="eastAsia" w:ascii="宋体" w:hAnsi="宋体" w:eastAsia="宋体" w:cs="宋体"/>
          <w:spacing w:val="20"/>
          <w:w w:val="90"/>
          <w:kern w:val="0"/>
          <w:position w:val="-6"/>
          <w:sz w:val="22"/>
          <w:lang w:val="en-US" w:eastAsia="zh-CN"/>
        </w:rPr>
        <w:t>3</w:t>
      </w:r>
      <w:r>
        <w:rPr>
          <w:rFonts w:hint="eastAsia" w:ascii="宋体" w:hAnsi="宋体" w:eastAsia="宋体" w:cs="宋体"/>
          <w:spacing w:val="20"/>
          <w:w w:val="90"/>
          <w:kern w:val="0"/>
          <w:position w:val="-6"/>
          <w:sz w:val="22"/>
        </w:rPr>
        <w:t>〕XXX号</w:t>
      </w:r>
    </w:p>
    <w:p>
      <w:pPr>
        <w:spacing w:after="312" w:afterLines="100"/>
        <w:jc w:val="center"/>
        <w:rPr>
          <w:rFonts w:ascii="Times New Roman" w:hAnsi="Times New Roman" w:cs="Times New Roman" w:eastAsiaTheme="majorEastAsia"/>
          <w:b/>
          <w:sz w:val="44"/>
          <w:szCs w:val="44"/>
        </w:rPr>
      </w:pPr>
      <w:r>
        <w:rPr>
          <w:rFonts w:ascii="Times New Roman" w:hAnsi="Times New Roman" w:cs="Times New Roman"/>
        </w:rPr>
        <w:pict>
          <v:group id="组合 4" o:spid="_x0000_s1026" o:spt="203" style="position:absolute;left:0pt;margin-left:-0.05pt;margin-top:12.1pt;height:20.55pt;width:411.25pt;z-index:251659264;mso-width-relative:page;mso-height-relative:page;" coordsize="8225,411" o:gfxdata="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bxJiU2AAAAAcBAAAPAAAA&#10;AAAAAAEAIAAAACIAAABkcnMvZG93bnJldi54bWxQSwECFAAUAAAACACHTuJAhwrVYcACAAB2CQAA&#10;DgAAAAAAAAABACAAAAAnAQAAZHJzL2Uyb0RvYy54bWxQSwUGAAAAAAYABgBZAQAAWQYAAAAA&#10;">
            <o:lock v:ext="edit"/>
            <v:line id="Line 3" o:spid="_x0000_s1027" o:spt="20" style="position:absolute;left:0;top:244;height:0;width:3815;"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path arrowok="t"/>
              <v:fill focussize="0,0"/>
              <v:stroke color="#FF0000"/>
              <v:imagedata o:title=""/>
              <o:lock v:ext="edit"/>
            </v:line>
            <v:line id="Line 4" o:spid="_x0000_s1028" o:spt="20" style="position:absolute;left:4410;top:244;height:0;width:3815;" stroked="t" coordsize="21600,21600" o:gfxdata="UEsDBAoAAAAAAIdO4kAAAAAAAAAAAAAAAAAEAAAAZHJzL1BLAwQUAAAACACHTuJAQCQMh7wAAADa&#10;AAAADwAAAGRycy9kb3ducmV2LnhtbEWPQWvCQBSE74X+h+UVvNXdCA0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kDIe8AAAA&#10;2gAAAA8AAAAAAAAAAQAgAAAAIgAAAGRycy9kb3ducmV2LnhtbFBLAQIUABQAAAAIAIdO4kAzLwWe&#10;OwAAADkAAAAQAAAAAAAAAAEAIAAAAAsBAABkcnMvc2hhcGV4bWwueG1sUEsFBgAAAAAGAAYAWwEA&#10;ALUDAAAAAA==&#10;">
              <v:path arrowok="t"/>
              <v:fill focussize="0,0"/>
              <v:stroke color="#FF0000"/>
              <v:imagedata o:title=""/>
              <o:lock v:ext="edit"/>
            </v:line>
            <v:shape id="AutoShape 5" o:spid="_x0000_s1029" style="position:absolute;left:3908;top:0;height:411;width:432;" fillcolor="#FF0000" filled="t" stroked="t" coordsize="432,411" o:gfxdata="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VDEVugAAANoA&#10;AAAPAAAAAAAAAAEAIAAAACIAAABkcnMvZG93bnJldi54bWxQSwECFAAUAAAACACHTuJAMy8FnjsA&#10;AAA5AAAAEAAAAAAAAAABACAAAAAJAQAAZHJzL3NoYXBleG1sLnhtbFBLBQYAAAAABgAGAFsBAACz&#10;AwAAAAA=&#10;" path="m0,156l165,156,216,0,266,156,431,156,298,254,349,410,216,313,82,410,133,254xe">
              <v:path o:connectlocs="216,0;0,156;82,410;349,410;431,156" o:connectangles="247,164,82,82,0"/>
              <v:fill on="t" focussize="0,0"/>
              <v:stroke color="#FF0000" joinstyle="miter"/>
              <v:imagedata o:title=""/>
              <o:lock v:ext="edit"/>
            </v:shape>
          </v:group>
        </w:pict>
      </w:r>
    </w:p>
    <w:p>
      <w:pPr>
        <w:jc w:val="center"/>
        <w:rPr>
          <w:rFonts w:ascii="Times New Roman" w:hAnsi="Times New Roman" w:cs="Times New Roman" w:eastAsiaTheme="majorEastAsia"/>
          <w:b/>
          <w:sz w:val="44"/>
          <w:szCs w:val="44"/>
        </w:rPr>
      </w:pPr>
    </w:p>
    <w:p>
      <w:pPr>
        <w:jc w:val="center"/>
        <w:rPr>
          <w:rFonts w:ascii="Times New Roman" w:hAnsi="Times New Roman" w:cs="Times New Roman" w:eastAsiaTheme="majorEastAsia"/>
          <w:b/>
          <w:sz w:val="44"/>
          <w:szCs w:val="44"/>
        </w:rPr>
      </w:pPr>
      <w:r>
        <w:rPr>
          <w:rFonts w:hint="eastAsia" w:ascii="Times New Roman" w:hAnsi="Times New Roman" w:cs="Times New Roman" w:eastAsiaTheme="majorEastAsia"/>
          <w:b/>
          <w:sz w:val="44"/>
          <w:szCs w:val="44"/>
          <w:lang w:val="en-US" w:eastAsia="zh-CN"/>
        </w:rPr>
        <w:t>岳阳市公安局2022年度中央政法转移支付办案费</w:t>
      </w:r>
      <w:r>
        <w:rPr>
          <w:rFonts w:ascii="Times New Roman" w:hAnsi="Times New Roman" w:cs="Times New Roman" w:eastAsiaTheme="majorEastAsia"/>
          <w:b/>
          <w:sz w:val="44"/>
          <w:szCs w:val="44"/>
        </w:rPr>
        <w:t>专项资</w:t>
      </w:r>
      <w:r>
        <w:rPr>
          <w:rFonts w:hint="eastAsia" w:ascii="Times New Roman" w:hAnsi="Times New Roman" w:cs="Times New Roman" w:eastAsiaTheme="majorEastAsia"/>
          <w:b/>
          <w:sz w:val="44"/>
          <w:szCs w:val="44"/>
          <w:lang w:val="en-US" w:eastAsia="zh-CN"/>
        </w:rPr>
        <w:t>金</w:t>
      </w:r>
      <w:r>
        <w:rPr>
          <w:rFonts w:ascii="Times New Roman" w:hAnsi="Times New Roman" w:cs="Times New Roman" w:eastAsiaTheme="majorEastAsia"/>
          <w:b/>
          <w:sz w:val="44"/>
          <w:szCs w:val="44"/>
        </w:rPr>
        <w:t>绩效评价报告</w:t>
      </w:r>
    </w:p>
    <w:p>
      <w:pPr>
        <w:pStyle w:val="2"/>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为强化财政支出绩效管理，促进财政资金使用的科学化、合理化和精细化，根据</w:t>
      </w:r>
      <w:r>
        <w:rPr>
          <w:rFonts w:hint="eastAsia" w:ascii="Times New Roman" w:hAnsi="Times New Roman" w:eastAsia="仿宋_GB2312" w:cs="Times New Roman"/>
          <w:sz w:val="32"/>
          <w:szCs w:val="32"/>
          <w:lang w:val="en-US" w:eastAsia="zh-CN"/>
        </w:rPr>
        <w:t>岳阳市预算绩效管理领导小组办公室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关于开展2022年度市级预算支出绩效自评工作的通知</w:t>
      </w:r>
      <w:r>
        <w:rPr>
          <w:rFonts w:ascii="Times New Roman" w:hAnsi="Times New Roman" w:eastAsia="仿宋_GB2312" w:cs="Times New Roman"/>
          <w:sz w:val="32"/>
          <w:szCs w:val="32"/>
        </w:rPr>
        <w:t>》文件精神，湖南中智诚联合会计师事务所（普通合伙）接受</w:t>
      </w:r>
      <w:r>
        <w:rPr>
          <w:rFonts w:hint="eastAsia" w:ascii="Times New Roman" w:hAnsi="Times New Roman" w:eastAsia="仿宋_GB2312" w:cs="Times New Roman"/>
          <w:sz w:val="32"/>
          <w:szCs w:val="32"/>
          <w:lang w:val="en-US" w:eastAsia="zh-CN"/>
        </w:rPr>
        <w:t>岳阳市公安</w:t>
      </w:r>
      <w:r>
        <w:rPr>
          <w:rFonts w:ascii="Times New Roman" w:hAnsi="Times New Roman" w:eastAsia="仿宋_GB2312" w:cs="Times New Roman"/>
          <w:sz w:val="32"/>
          <w:szCs w:val="32"/>
        </w:rPr>
        <w:t>局委托，对202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中央政法转移支付办案费</w:t>
      </w:r>
      <w:r>
        <w:rPr>
          <w:rFonts w:ascii="Times New Roman" w:hAnsi="Times New Roman" w:eastAsia="仿宋_GB2312" w:cs="Times New Roman"/>
          <w:sz w:val="32"/>
          <w:szCs w:val="32"/>
        </w:rPr>
        <w:t>进行了绩效评价，现将有关情况报告如下：</w:t>
      </w:r>
    </w:p>
    <w:p>
      <w:pPr>
        <w:ind w:firstLine="642" w:firstLineChars="200"/>
        <w:outlineLvl w:val="0"/>
        <w:rPr>
          <w:rFonts w:ascii="Times New Roman" w:hAnsi="Times New Roman" w:eastAsia="黑体" w:cs="Times New Roman"/>
          <w:b/>
          <w:bCs/>
          <w:sz w:val="32"/>
          <w:szCs w:val="32"/>
        </w:rPr>
      </w:pPr>
      <w:bookmarkStart w:id="5" w:name="_Toc12866"/>
      <w:bookmarkStart w:id="6" w:name="_Toc28383"/>
      <w:bookmarkStart w:id="7" w:name="_Toc21727"/>
      <w:r>
        <w:rPr>
          <w:rFonts w:ascii="Times New Roman" w:hAnsi="Times New Roman" w:eastAsia="黑体" w:cs="Times New Roman"/>
          <w:b/>
          <w:bCs/>
          <w:sz w:val="32"/>
          <w:szCs w:val="32"/>
        </w:rPr>
        <w:t>一、项目基本情况</w:t>
      </w:r>
      <w:bookmarkEnd w:id="5"/>
      <w:bookmarkEnd w:id="6"/>
      <w:bookmarkEnd w:id="7"/>
    </w:p>
    <w:p>
      <w:pPr>
        <w:ind w:firstLine="642" w:firstLineChars="200"/>
        <w:outlineLvl w:val="1"/>
        <w:rPr>
          <w:rFonts w:ascii="Times New Roman" w:hAnsi="Times New Roman" w:eastAsia="仿宋_GB2312" w:cs="Times New Roman"/>
          <w:b/>
          <w:sz w:val="32"/>
          <w:szCs w:val="32"/>
        </w:rPr>
      </w:pPr>
      <w:bookmarkStart w:id="8" w:name="_Toc26788"/>
      <w:bookmarkStart w:id="9" w:name="_Toc3143"/>
      <w:bookmarkStart w:id="10" w:name="_Toc19069"/>
      <w:r>
        <w:rPr>
          <w:rFonts w:ascii="Times New Roman" w:hAnsi="Times New Roman" w:eastAsia="仿宋_GB2312" w:cs="Times New Roman"/>
          <w:b/>
          <w:sz w:val="32"/>
          <w:szCs w:val="32"/>
        </w:rPr>
        <w:t>（一）项目概况</w:t>
      </w:r>
      <w:bookmarkEnd w:id="8"/>
      <w:bookmarkEnd w:id="9"/>
      <w:bookmarkEnd w:id="10"/>
    </w:p>
    <w:p>
      <w:pPr>
        <w:pStyle w:val="5"/>
        <w:snapToGrid/>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中央</w:t>
      </w:r>
      <w:r>
        <w:rPr>
          <w:rFonts w:hint="eastAsia" w:ascii="Times New Roman" w:hAnsi="Times New Roman" w:eastAsia="仿宋_GB2312" w:cs="Times New Roman"/>
          <w:sz w:val="32"/>
          <w:szCs w:val="32"/>
        </w:rPr>
        <w:t>政法转移支付</w:t>
      </w:r>
      <w:r>
        <w:rPr>
          <w:rFonts w:hint="eastAsia" w:ascii="Times New Roman" w:hAnsi="Times New Roman" w:eastAsia="仿宋_GB2312" w:cs="Times New Roman"/>
          <w:sz w:val="32"/>
          <w:szCs w:val="32"/>
          <w:lang w:val="en-US" w:eastAsia="zh-CN"/>
        </w:rPr>
        <w:t>办案费</w:t>
      </w:r>
      <w:r>
        <w:rPr>
          <w:rFonts w:hint="eastAsia" w:ascii="Times New Roman" w:hAnsi="Times New Roman" w:eastAsia="仿宋_GB2312" w:cs="Times New Roman"/>
          <w:sz w:val="32"/>
          <w:szCs w:val="32"/>
        </w:rPr>
        <w:t>是为提高基层政法机关的经费保障水平，改善政法机关的办案条件，由中央安排用于补助基层政法机关的专项资金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2022年共安排中央</w:t>
      </w:r>
      <w:r>
        <w:rPr>
          <w:rFonts w:hint="eastAsia" w:ascii="Times New Roman" w:hAnsi="Times New Roman" w:eastAsia="仿宋_GB2312" w:cs="Times New Roman"/>
          <w:sz w:val="32"/>
          <w:szCs w:val="32"/>
        </w:rPr>
        <w:t>政法转移支付</w:t>
      </w:r>
      <w:r>
        <w:rPr>
          <w:rFonts w:hint="eastAsia" w:ascii="Times New Roman" w:hAnsi="Times New Roman" w:eastAsia="仿宋_GB2312" w:cs="Times New Roman"/>
          <w:sz w:val="32"/>
          <w:szCs w:val="32"/>
          <w:lang w:val="en-US" w:eastAsia="zh-CN"/>
        </w:rPr>
        <w:t>办案费449万元，其中：委托业务费125万元、差旅费128万元、专用材料购置费168.52万元、办公费20万元、其他商品和服务支出1.48万元，449万元全部使用，无资金结转结余。</w:t>
      </w:r>
    </w:p>
    <w:p>
      <w:pPr>
        <w:ind w:firstLine="642" w:firstLineChars="200"/>
        <w:outlineLvl w:val="1"/>
        <w:rPr>
          <w:rFonts w:ascii="Times New Roman" w:hAnsi="Times New Roman" w:eastAsia="仿宋_GB2312" w:cs="Times New Roman"/>
          <w:b/>
          <w:sz w:val="32"/>
          <w:szCs w:val="32"/>
        </w:rPr>
      </w:pPr>
      <w:bookmarkStart w:id="11" w:name="_Toc24719"/>
      <w:bookmarkStart w:id="12" w:name="_Toc5078"/>
      <w:bookmarkStart w:id="13" w:name="_Toc13843"/>
      <w:r>
        <w:rPr>
          <w:rFonts w:ascii="Times New Roman" w:hAnsi="Times New Roman" w:eastAsia="仿宋_GB2312" w:cs="Times New Roman"/>
          <w:b/>
          <w:sz w:val="32"/>
          <w:szCs w:val="32"/>
        </w:rPr>
        <w:t>（二）项目绩效目标</w:t>
      </w:r>
      <w:bookmarkEnd w:id="11"/>
      <w:bookmarkEnd w:id="12"/>
      <w:bookmarkEnd w:id="13"/>
    </w:p>
    <w:p>
      <w:pPr>
        <w:ind w:firstLine="642" w:firstLineChars="200"/>
        <w:outlineLvl w:val="2"/>
        <w:rPr>
          <w:rFonts w:ascii="Times New Roman" w:hAnsi="Times New Roman" w:eastAsia="仿宋_GB2312" w:cs="Times New Roman"/>
          <w:b/>
          <w:bCs/>
          <w:sz w:val="32"/>
          <w:szCs w:val="32"/>
        </w:rPr>
      </w:pPr>
      <w:bookmarkStart w:id="14" w:name="_Toc17548"/>
      <w:bookmarkStart w:id="15" w:name="_Toc17046"/>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项目绩效总目标</w:t>
      </w:r>
      <w:bookmarkEnd w:id="14"/>
      <w:bookmarkEnd w:id="15"/>
    </w:p>
    <w:p>
      <w:pPr>
        <w:pStyle w:val="5"/>
        <w:snapToGrid/>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打击各类违法犯罪行为，维护岳阳市公共安全和社会稳定</w:t>
      </w:r>
      <w:r>
        <w:rPr>
          <w:rFonts w:ascii="Times New Roman" w:hAnsi="Times New Roman" w:eastAsia="仿宋_GB2312" w:cs="Times New Roman"/>
          <w:sz w:val="32"/>
          <w:szCs w:val="32"/>
        </w:rPr>
        <w:t>。</w:t>
      </w:r>
    </w:p>
    <w:p>
      <w:pPr>
        <w:ind w:firstLine="642" w:firstLineChars="200"/>
        <w:outlineLvl w:val="0"/>
        <w:rPr>
          <w:rFonts w:ascii="Times New Roman" w:hAnsi="Times New Roman" w:eastAsia="仿宋_GB2312" w:cs="Times New Roman"/>
          <w:b/>
          <w:bCs/>
          <w:sz w:val="32"/>
          <w:szCs w:val="32"/>
        </w:rPr>
      </w:pPr>
      <w:bookmarkStart w:id="16" w:name="_Toc17669"/>
      <w:bookmarkStart w:id="17" w:name="_Toc3978"/>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rPr>
        <w:t>年度</w:t>
      </w:r>
      <w:r>
        <w:rPr>
          <w:rFonts w:ascii="Times New Roman" w:hAnsi="Times New Roman" w:eastAsia="仿宋_GB2312" w:cs="Times New Roman"/>
          <w:b/>
          <w:bCs/>
          <w:sz w:val="32"/>
          <w:szCs w:val="32"/>
        </w:rPr>
        <w:t>项目具体绩效目标</w:t>
      </w:r>
      <w:bookmarkEnd w:id="16"/>
      <w:bookmarkEnd w:id="17"/>
    </w:p>
    <w:p>
      <w:pPr>
        <w:ind w:firstLine="640" w:firstLineChars="200"/>
        <w:rPr>
          <w:rStyle w:val="16"/>
          <w:rFonts w:ascii="Times New Roman" w:hAnsi="Times New Roman" w:cs="Times New Roma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中央</w:t>
      </w:r>
      <w:r>
        <w:rPr>
          <w:rFonts w:hint="eastAsia" w:ascii="Times New Roman" w:hAnsi="Times New Roman" w:eastAsia="仿宋_GB2312" w:cs="Times New Roman"/>
          <w:sz w:val="32"/>
          <w:szCs w:val="32"/>
        </w:rPr>
        <w:t>政法转移支付</w:t>
      </w:r>
      <w:r>
        <w:rPr>
          <w:rFonts w:hint="eastAsia" w:ascii="Times New Roman" w:hAnsi="Times New Roman" w:eastAsia="仿宋_GB2312" w:cs="Times New Roman"/>
          <w:sz w:val="32"/>
          <w:szCs w:val="32"/>
          <w:lang w:val="en-US" w:eastAsia="zh-CN"/>
        </w:rPr>
        <w:t>办案费严格按规定用于办案支出</w:t>
      </w:r>
      <w:r>
        <w:rPr>
          <w:rFonts w:ascii="Times New Roman" w:hAnsi="Times New Roman" w:eastAsia="仿宋_GB2312" w:cs="Times New Roman"/>
          <w:sz w:val="32"/>
          <w:szCs w:val="32"/>
        </w:rPr>
        <w:t>，具体目标如下：</w:t>
      </w:r>
    </w:p>
    <w:p>
      <w:pPr>
        <w:pStyle w:val="5"/>
        <w:snapToGrid/>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数量指标：</w:t>
      </w:r>
      <w:r>
        <w:rPr>
          <w:rFonts w:hint="eastAsia" w:ascii="Times New Roman" w:hAnsi="Times New Roman" w:eastAsia="仿宋_GB2312" w:cs="Times New Roman"/>
          <w:sz w:val="32"/>
          <w:szCs w:val="32"/>
          <w:lang w:val="en-US" w:eastAsia="zh-CN"/>
        </w:rPr>
        <w:t>办理刑事案件100起。</w:t>
      </w:r>
    </w:p>
    <w:p>
      <w:pPr>
        <w:pStyle w:val="5"/>
        <w:snapToGrid/>
        <w:ind w:firstLine="640" w:firstLineChars="200"/>
        <w:rPr>
          <w:rFonts w:hint="default" w:ascii="仿宋_GB2312" w:hAnsi="宋体" w:eastAsia="仿宋_GB2312" w:cs="仿宋_GB2312"/>
          <w:kern w:val="2"/>
          <w:sz w:val="32"/>
          <w:szCs w:val="32"/>
          <w:lang w:val="en-US" w:eastAsia="zh-CN"/>
        </w:rPr>
      </w:pPr>
      <w:r>
        <w:rPr>
          <w:rFonts w:ascii="Times New Roman" w:hAnsi="Times New Roman" w:eastAsia="仿宋_GB2312" w:cs="Times New Roman"/>
          <w:sz w:val="32"/>
          <w:szCs w:val="32"/>
        </w:rPr>
        <w:t>质量指标：</w:t>
      </w:r>
      <w:r>
        <w:rPr>
          <w:rFonts w:ascii="仿宋_GB2312" w:hAnsi="宋体" w:eastAsia="仿宋_GB2312" w:cs="仿宋_GB2312"/>
          <w:kern w:val="2"/>
          <w:sz w:val="32"/>
          <w:szCs w:val="32"/>
        </w:rPr>
        <w:t>防范打击电信息网络诈骗犯罪</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2"/>
          <w:sz w:val="32"/>
          <w:szCs w:val="32"/>
        </w:rPr>
        <w:t>百警刑拘数</w:t>
      </w:r>
      <w:r>
        <w:rPr>
          <w:rFonts w:hint="eastAsia" w:ascii="仿宋_GB2312" w:hAnsi="宋体" w:eastAsia="仿宋_GB2312" w:cs="仿宋_GB2312"/>
          <w:kern w:val="2"/>
          <w:sz w:val="32"/>
          <w:szCs w:val="32"/>
          <w:lang w:val="en-US" w:eastAsia="zh-CN"/>
        </w:rPr>
        <w:t>达50；依法依规办案，破案率上升5个百分点。</w:t>
      </w:r>
    </w:p>
    <w:p>
      <w:pPr>
        <w:pStyle w:val="5"/>
        <w:snapToGrid/>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成本指标：</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资金使用</w:t>
      </w:r>
      <w:r>
        <w:rPr>
          <w:rFonts w:hint="eastAsia" w:ascii="Times New Roman" w:hAnsi="Times New Roman" w:eastAsia="仿宋_GB2312" w:cs="Times New Roman"/>
          <w:sz w:val="32"/>
          <w:szCs w:val="32"/>
          <w:lang w:val="en-US" w:eastAsia="zh-CN"/>
        </w:rPr>
        <w:t>控制在449万元</w:t>
      </w:r>
      <w:r>
        <w:rPr>
          <w:rFonts w:hint="eastAsia" w:ascii="Times New Roman" w:hAnsi="Times New Roman" w:eastAsia="仿宋_GB2312" w:cs="Times New Roman"/>
          <w:sz w:val="32"/>
          <w:szCs w:val="32"/>
          <w:lang w:eastAsia="zh-CN"/>
        </w:rPr>
        <w:t>。</w:t>
      </w:r>
    </w:p>
    <w:p>
      <w:pPr>
        <w:pStyle w:val="5"/>
        <w:snapToGrid/>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时效指标：提高办案效率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2022年底办结目标案件</w:t>
      </w:r>
      <w:r>
        <w:rPr>
          <w:rFonts w:hint="eastAsia" w:ascii="Times New Roman" w:hAnsi="Times New Roman" w:eastAsia="仿宋_GB2312" w:cs="Times New Roman"/>
          <w:sz w:val="32"/>
          <w:szCs w:val="32"/>
          <w:lang w:eastAsia="zh-CN"/>
        </w:rPr>
        <w:t>。</w:t>
      </w:r>
    </w:p>
    <w:p>
      <w:pPr>
        <w:pStyle w:val="5"/>
        <w:snapToGrid/>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满意度指标：</w:t>
      </w:r>
      <w:r>
        <w:rPr>
          <w:rFonts w:hint="eastAsia" w:ascii="Times New Roman" w:hAnsi="Times New Roman" w:eastAsia="仿宋_GB2312" w:cs="Times New Roman"/>
          <w:sz w:val="32"/>
          <w:szCs w:val="32"/>
          <w:lang w:val="en-US" w:eastAsia="zh-CN"/>
        </w:rPr>
        <w:t>全省公安工作公众满意度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0分</w:t>
      </w:r>
      <w:r>
        <w:rPr>
          <w:rFonts w:ascii="Times New Roman" w:hAnsi="Times New Roman" w:eastAsia="仿宋_GB2312" w:cs="Times New Roman"/>
          <w:sz w:val="32"/>
          <w:szCs w:val="32"/>
        </w:rPr>
        <w:t>以上。</w:t>
      </w:r>
    </w:p>
    <w:p>
      <w:pPr>
        <w:ind w:firstLine="642" w:firstLineChars="200"/>
        <w:outlineLvl w:val="0"/>
        <w:rPr>
          <w:rFonts w:ascii="Times New Roman" w:hAnsi="Times New Roman" w:eastAsia="黑体" w:cs="Times New Roman"/>
          <w:b/>
          <w:bCs/>
          <w:sz w:val="32"/>
          <w:szCs w:val="32"/>
        </w:rPr>
      </w:pPr>
      <w:bookmarkStart w:id="18" w:name="_Toc19194"/>
      <w:bookmarkStart w:id="19" w:name="_Toc6880"/>
      <w:bookmarkStart w:id="20" w:name="_Toc22297"/>
      <w:r>
        <w:rPr>
          <w:rFonts w:hint="eastAsia" w:ascii="Times New Roman" w:hAnsi="Times New Roman" w:eastAsia="黑体" w:cs="Times New Roman"/>
          <w:b/>
          <w:bCs/>
          <w:sz w:val="32"/>
          <w:szCs w:val="32"/>
          <w:lang w:val="en-US" w:eastAsia="zh-CN"/>
        </w:rPr>
        <w:t>二</w:t>
      </w:r>
      <w:r>
        <w:rPr>
          <w:rFonts w:ascii="Times New Roman" w:hAnsi="Times New Roman" w:eastAsia="黑体" w:cs="Times New Roman"/>
          <w:b/>
          <w:bCs/>
          <w:sz w:val="32"/>
          <w:szCs w:val="32"/>
        </w:rPr>
        <w:t>、绩效评价工作情况</w:t>
      </w:r>
      <w:bookmarkEnd w:id="18"/>
      <w:bookmarkEnd w:id="19"/>
      <w:bookmarkEnd w:id="20"/>
    </w:p>
    <w:p>
      <w:pPr>
        <w:pStyle w:val="3"/>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项目评价分为</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个阶段，第一阶段：202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现场</w:t>
      </w:r>
      <w:r>
        <w:rPr>
          <w:rFonts w:ascii="Times New Roman" w:hAnsi="Times New Roman" w:eastAsia="仿宋_GB2312" w:cs="Times New Roman"/>
          <w:sz w:val="32"/>
          <w:szCs w:val="32"/>
        </w:rPr>
        <w:t>查看资料并收集相关数据，再设计专项资金项目绩效评价指标；第</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阶段：</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日对项目单位进行综合评价，并撰写评价报告。通过上述</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个阶段的工作来了解项目资金的分配与使用情况、项目日常组织管理及项目绩效目标的完成情况。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评价小组采用的评价方式有：现场询问相关人员，查阅项目凭证</w:t>
      </w:r>
      <w:r>
        <w:rPr>
          <w:rFonts w:hint="eastAsia" w:ascii="Times New Roman" w:hAnsi="Times New Roman" w:eastAsia="仿宋_GB2312" w:cs="Times New Roman"/>
          <w:sz w:val="32"/>
          <w:szCs w:val="32"/>
          <w:lang w:val="en-US" w:eastAsia="zh-CN"/>
        </w:rPr>
        <w:t>及相关资料</w:t>
      </w:r>
      <w:r>
        <w:rPr>
          <w:rFonts w:ascii="Times New Roman" w:hAnsi="Times New Roman" w:eastAsia="仿宋_GB2312" w:cs="Times New Roman"/>
          <w:sz w:val="32"/>
          <w:szCs w:val="32"/>
        </w:rPr>
        <w:t>，收集整理分析基础资料和数据。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小组采用定量分析和定性分析相结合的方法，在被评价单位提供资料的基础上，按照重要性原则，根据该项目的实际情况，实施了资料审阅、财务核实、抽查支付记录、询问等必要的现场评价程序，并结合预算的编制、执行和监督、项目的决策、资金分配与使用、资金监督与管理、项目组织管理、项目绩效完成等方面对项目进行了综合评价。</w:t>
      </w:r>
    </w:p>
    <w:p>
      <w:pPr>
        <w:ind w:firstLine="642" w:firstLineChars="200"/>
        <w:outlineLvl w:val="0"/>
        <w:rPr>
          <w:rFonts w:ascii="Times New Roman" w:hAnsi="Times New Roman" w:eastAsia="黑体" w:cs="Times New Roman"/>
          <w:b/>
          <w:bCs/>
          <w:sz w:val="32"/>
          <w:szCs w:val="32"/>
        </w:rPr>
      </w:pPr>
      <w:bookmarkStart w:id="21" w:name="_Toc4484"/>
      <w:bookmarkStart w:id="22" w:name="_Toc16732"/>
      <w:bookmarkStart w:id="23" w:name="_Toc29235"/>
      <w:r>
        <w:rPr>
          <w:rFonts w:hint="eastAsia" w:ascii="Times New Roman" w:hAnsi="Times New Roman" w:eastAsia="黑体" w:cs="Times New Roman"/>
          <w:b/>
          <w:bCs/>
          <w:sz w:val="32"/>
          <w:szCs w:val="32"/>
          <w:lang w:val="en-US" w:eastAsia="zh-CN"/>
        </w:rPr>
        <w:t>三</w:t>
      </w:r>
      <w:r>
        <w:rPr>
          <w:rFonts w:ascii="Times New Roman" w:hAnsi="Times New Roman" w:eastAsia="黑体" w:cs="Times New Roman"/>
          <w:b/>
          <w:bCs/>
          <w:sz w:val="32"/>
          <w:szCs w:val="32"/>
        </w:rPr>
        <w:t>、绩效评价指标分析情况</w:t>
      </w:r>
      <w:bookmarkEnd w:id="21"/>
      <w:bookmarkEnd w:id="22"/>
      <w:bookmarkEnd w:id="23"/>
    </w:p>
    <w:p>
      <w:pPr>
        <w:ind w:firstLine="642" w:firstLineChars="200"/>
        <w:outlineLvl w:val="1"/>
        <w:rPr>
          <w:rFonts w:ascii="Times New Roman" w:hAnsi="Times New Roman" w:eastAsia="仿宋_GB2312" w:cs="Times New Roman"/>
          <w:b/>
          <w:sz w:val="32"/>
          <w:szCs w:val="32"/>
        </w:rPr>
      </w:pPr>
      <w:bookmarkStart w:id="24" w:name="_Toc6046"/>
      <w:bookmarkStart w:id="25" w:name="_Toc14570"/>
      <w:bookmarkStart w:id="26" w:name="_Toc91"/>
      <w:r>
        <w:rPr>
          <w:rFonts w:ascii="Times New Roman" w:hAnsi="Times New Roman" w:eastAsia="仿宋_GB2312" w:cs="Times New Roman"/>
          <w:b/>
          <w:sz w:val="32"/>
          <w:szCs w:val="32"/>
        </w:rPr>
        <w:t>（一）项目资金情况</w:t>
      </w:r>
      <w:bookmarkEnd w:id="24"/>
      <w:bookmarkEnd w:id="25"/>
      <w:bookmarkEnd w:id="26"/>
    </w:p>
    <w:p>
      <w:pPr>
        <w:ind w:firstLine="642" w:firstLineChars="200"/>
        <w:outlineLvl w:val="2"/>
        <w:rPr>
          <w:rFonts w:ascii="Times New Roman" w:hAnsi="Times New Roman" w:eastAsia="仿宋_GB2312" w:cs="Times New Roman"/>
          <w:b/>
          <w:sz w:val="32"/>
          <w:szCs w:val="32"/>
        </w:rPr>
      </w:pPr>
      <w:bookmarkStart w:id="27" w:name="_Toc9005"/>
      <w:bookmarkStart w:id="28" w:name="_Toc4526"/>
      <w:bookmarkStart w:id="29" w:name="_Toc12118"/>
      <w:r>
        <w:rPr>
          <w:rFonts w:ascii="Times New Roman" w:hAnsi="Times New Roman" w:eastAsia="仿宋_GB2312" w:cs="Times New Roman"/>
          <w:b/>
          <w:sz w:val="32"/>
          <w:szCs w:val="32"/>
        </w:rPr>
        <w:t>1.项目资金到位情况</w:t>
      </w:r>
      <w:bookmarkEnd w:id="27"/>
      <w:bookmarkEnd w:id="28"/>
      <w:bookmarkEnd w:id="29"/>
    </w:p>
    <w:p>
      <w:pPr>
        <w:ind w:firstLine="640" w:firstLineChars="200"/>
        <w:rPr>
          <w:rFonts w:ascii="Times New Roman" w:hAnsi="Times New Roman" w:cs="Times New Roma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中央政法转移支付办案费</w:t>
      </w:r>
      <w:r>
        <w:rPr>
          <w:rFonts w:ascii="Times New Roman" w:hAnsi="Times New Roman" w:eastAsia="仿宋_GB2312" w:cs="Times New Roman"/>
          <w:sz w:val="32"/>
          <w:szCs w:val="32"/>
        </w:rPr>
        <w:t>预算安排</w:t>
      </w:r>
      <w:r>
        <w:rPr>
          <w:rFonts w:hint="eastAsia" w:ascii="Times New Roman" w:hAnsi="Times New Roman" w:eastAsia="仿宋_GB2312" w:cs="Times New Roman"/>
          <w:sz w:val="32"/>
          <w:szCs w:val="32"/>
          <w:lang w:val="en-US" w:eastAsia="zh-CN"/>
        </w:rPr>
        <w:t>449</w:t>
      </w:r>
      <w:r>
        <w:rPr>
          <w:rFonts w:ascii="Times New Roman" w:hAnsi="Times New Roman" w:eastAsia="仿宋_GB2312" w:cs="Times New Roman"/>
          <w:sz w:val="32"/>
          <w:szCs w:val="32"/>
        </w:rPr>
        <w:t>万元，实际到位资金</w:t>
      </w:r>
      <w:r>
        <w:rPr>
          <w:rFonts w:hint="eastAsia" w:ascii="Times New Roman" w:hAnsi="Times New Roman" w:eastAsia="仿宋_GB2312" w:cs="Times New Roman"/>
          <w:sz w:val="32"/>
          <w:szCs w:val="32"/>
          <w:lang w:val="en-US" w:eastAsia="zh-CN"/>
        </w:rPr>
        <w:t>449</w:t>
      </w:r>
      <w:r>
        <w:rPr>
          <w:rFonts w:ascii="Times New Roman" w:hAnsi="Times New Roman" w:eastAsia="仿宋_GB2312" w:cs="Times New Roman"/>
          <w:sz w:val="32"/>
          <w:szCs w:val="32"/>
        </w:rPr>
        <w:t>万元，项目资金到位率100%。</w:t>
      </w:r>
    </w:p>
    <w:p>
      <w:pPr>
        <w:ind w:firstLine="642" w:firstLineChars="200"/>
        <w:outlineLvl w:val="2"/>
        <w:rPr>
          <w:rFonts w:ascii="Times New Roman" w:hAnsi="Times New Roman" w:eastAsia="仿宋_GB2312" w:cs="Times New Roman"/>
          <w:b/>
          <w:bCs/>
          <w:sz w:val="32"/>
          <w:szCs w:val="32"/>
        </w:rPr>
      </w:pPr>
      <w:bookmarkStart w:id="30" w:name="_Toc10045"/>
      <w:bookmarkStart w:id="31" w:name="_Toc25032"/>
      <w:bookmarkStart w:id="32" w:name="_Toc21274"/>
      <w:r>
        <w:rPr>
          <w:rFonts w:ascii="Times New Roman" w:hAnsi="Times New Roman" w:eastAsia="仿宋_GB2312" w:cs="Times New Roman"/>
          <w:b/>
          <w:bCs/>
          <w:sz w:val="32"/>
          <w:szCs w:val="32"/>
        </w:rPr>
        <w:t>2.项目资金使用情况</w:t>
      </w:r>
      <w:bookmarkEnd w:id="30"/>
      <w:bookmarkEnd w:id="31"/>
      <w:bookmarkEnd w:id="32"/>
    </w:p>
    <w:p>
      <w:pPr>
        <w:ind w:firstLine="640" w:firstLineChars="200"/>
        <w:rPr>
          <w:rFonts w:hint="eastAsia" w:ascii="Times New Roman" w:hAnsi="Times New Roman" w:eastAsia="仿宋_GB2312" w:cs="Times New Roman"/>
          <w:sz w:val="32"/>
          <w:szCs w:val="32"/>
          <w:lang w:val="en-US" w:eastAsia="zh-CN"/>
        </w:rPr>
      </w:pPr>
      <w:bookmarkStart w:id="33" w:name="_Toc5293"/>
      <w:bookmarkStart w:id="34" w:name="_Toc22587"/>
      <w:bookmarkStart w:id="35" w:name="_Toc15728"/>
      <w:r>
        <w:rPr>
          <w:rFonts w:hint="eastAsia" w:ascii="Times New Roman" w:hAnsi="Times New Roman" w:eastAsia="仿宋_GB2312" w:cs="Times New Roman"/>
          <w:sz w:val="32"/>
          <w:szCs w:val="32"/>
        </w:rPr>
        <w:t>中央政法转移支付办案费</w:t>
      </w:r>
      <w:r>
        <w:rPr>
          <w:rFonts w:hint="eastAsia" w:ascii="Times New Roman" w:hAnsi="Times New Roman" w:eastAsia="仿宋_GB2312" w:cs="Times New Roman"/>
          <w:sz w:val="32"/>
          <w:szCs w:val="32"/>
          <w:lang w:val="en-US" w:eastAsia="zh-CN"/>
        </w:rPr>
        <w:t>用于差旅支出、专业材料（设备）购置、委托业务费等方面，根据项目单位提供的财政指标执行情况，资金实际支付449万元，</w:t>
      </w:r>
      <w:r>
        <w:rPr>
          <w:rFonts w:hint="eastAsia" w:ascii="Times New Roman" w:hAnsi="Times New Roman" w:eastAsia="仿宋_GB2312" w:cs="Times New Roman"/>
          <w:sz w:val="32"/>
          <w:szCs w:val="32"/>
        </w:rPr>
        <w:t>预算执行</w:t>
      </w:r>
      <w:r>
        <w:rPr>
          <w:rFonts w:ascii="Times New Roman" w:hAnsi="Times New Roman" w:eastAsia="仿宋_GB2312" w:cs="Times New Roman"/>
          <w:sz w:val="32"/>
          <w:szCs w:val="32"/>
        </w:rPr>
        <w:t>率100%</w:t>
      </w:r>
      <w:r>
        <w:rPr>
          <w:rFonts w:hint="eastAsia" w:ascii="Times New Roman" w:hAnsi="Times New Roman" w:eastAsia="仿宋_GB2312" w:cs="Times New Roman"/>
          <w:sz w:val="32"/>
          <w:szCs w:val="32"/>
          <w:lang w:eastAsia="zh-CN"/>
        </w:rPr>
        <w:t>。</w:t>
      </w:r>
    </w:p>
    <w:bookmarkEnd w:id="33"/>
    <w:bookmarkEnd w:id="34"/>
    <w:bookmarkEnd w:id="35"/>
    <w:p>
      <w:pPr>
        <w:ind w:firstLine="642" w:firstLineChars="200"/>
        <w:outlineLvl w:val="2"/>
        <w:rPr>
          <w:rFonts w:ascii="Times New Roman" w:hAnsi="Times New Roman" w:eastAsia="仿宋_GB2312" w:cs="Times New Roman"/>
          <w:b/>
          <w:bCs/>
          <w:sz w:val="32"/>
          <w:szCs w:val="32"/>
        </w:rPr>
      </w:pPr>
      <w:bookmarkStart w:id="36" w:name="_Toc1785"/>
      <w:bookmarkStart w:id="37" w:name="_Toc7122"/>
      <w:bookmarkStart w:id="38" w:name="_Toc7885"/>
      <w:r>
        <w:rPr>
          <w:rFonts w:ascii="Times New Roman" w:hAnsi="Times New Roman" w:eastAsia="仿宋_GB2312" w:cs="Times New Roman"/>
          <w:b/>
          <w:bCs/>
          <w:sz w:val="32"/>
          <w:szCs w:val="32"/>
        </w:rPr>
        <w:t>3.项目资金管理情况</w:t>
      </w:r>
      <w:bookmarkEnd w:id="36"/>
      <w:bookmarkEnd w:id="37"/>
      <w:bookmarkEnd w:id="38"/>
    </w:p>
    <w:p>
      <w:pPr>
        <w:pStyle w:val="5"/>
        <w:snapToGrid/>
        <w:ind w:firstLine="640" w:firstLineChars="20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rPr>
        <w:t>在对中央政法转移支付办案费的管理和使用上，</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rPr>
        <w:t>严格按照《</w:t>
      </w:r>
      <w:r>
        <w:rPr>
          <w:rFonts w:hint="eastAsia" w:ascii="Times New Roman" w:hAnsi="Times New Roman" w:eastAsia="仿宋_GB2312" w:cs="Times New Roman"/>
          <w:sz w:val="32"/>
          <w:szCs w:val="32"/>
          <w:lang w:val="en-US" w:eastAsia="zh-CN"/>
        </w:rPr>
        <w:t>岳阳市公安局财务</w:t>
      </w:r>
      <w:r>
        <w:rPr>
          <w:rFonts w:hint="eastAsia" w:ascii="Times New Roman" w:hAnsi="Times New Roman" w:eastAsia="仿宋_GB2312" w:cs="Times New Roman"/>
          <w:sz w:val="32"/>
          <w:szCs w:val="32"/>
        </w:rPr>
        <w:t>管理办法》的要求</w:t>
      </w:r>
      <w:r>
        <w:rPr>
          <w:rFonts w:hint="eastAsia" w:ascii="Times New Roman" w:hAnsi="Times New Roman" w:eastAsia="仿宋_GB2312" w:cs="Times New Roman"/>
          <w:sz w:val="32"/>
          <w:szCs w:val="32"/>
          <w:lang w:val="en-US" w:eastAsia="zh-CN"/>
        </w:rPr>
        <w:t>及财务工作流程对资金进行把控。常规性人员经费、日常性运行经费、预算10万元以下的资金分别由部门财务负责人审批、部门会计票据审核、财务科长审核、警保处分管副主任审核、3000元以下的由警保处主任审批、3000元以上的由警保处主任审批后</w:t>
      </w:r>
      <w:bookmarkStart w:id="80" w:name="_GoBack"/>
      <w:bookmarkEnd w:id="80"/>
      <w:r>
        <w:rPr>
          <w:rFonts w:hint="eastAsia" w:ascii="Times New Roman" w:hAnsi="Times New Roman" w:eastAsia="仿宋_GB2312" w:cs="Times New Roman"/>
          <w:sz w:val="32"/>
          <w:szCs w:val="32"/>
          <w:lang w:val="en-US" w:eastAsia="zh-CN"/>
        </w:rPr>
        <w:t>分管财务局领导审批。10万元以上的项目支出需部门提交报告并报分管局领导、局长审批项目，警保处提出预算经费并提交局党委会研究后按财务权限逐级审批。从</w:t>
      </w:r>
      <w:r>
        <w:rPr>
          <w:rFonts w:ascii="Times New Roman" w:hAnsi="Times New Roman" w:eastAsia="仿宋_GB2312" w:cs="Times New Roman"/>
          <w:sz w:val="32"/>
          <w:szCs w:val="32"/>
        </w:rPr>
        <w:t>查看</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资料</w:t>
      </w:r>
      <w:r>
        <w:rPr>
          <w:rFonts w:hint="eastAsia" w:ascii="Times New Roman" w:hAnsi="Times New Roman" w:eastAsia="仿宋_GB2312" w:cs="Times New Roman"/>
          <w:sz w:val="32"/>
          <w:szCs w:val="32"/>
          <w:lang w:val="en-US" w:eastAsia="zh-CN"/>
        </w:rPr>
        <w:t>显示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资金支付审批流程严格按照局机关制度执行。</w:t>
      </w:r>
    </w:p>
    <w:p>
      <w:pPr>
        <w:ind w:firstLine="642" w:firstLineChars="200"/>
        <w:outlineLvl w:val="1"/>
        <w:rPr>
          <w:rFonts w:ascii="Times New Roman" w:hAnsi="Times New Roman" w:eastAsia="仿宋_GB2312" w:cs="Times New Roman"/>
          <w:b/>
          <w:sz w:val="32"/>
          <w:szCs w:val="32"/>
        </w:rPr>
      </w:pPr>
      <w:bookmarkStart w:id="39" w:name="_Toc29383"/>
      <w:bookmarkStart w:id="40" w:name="_Toc3499"/>
      <w:bookmarkStart w:id="41" w:name="_Toc11797"/>
      <w:r>
        <w:rPr>
          <w:rFonts w:ascii="Times New Roman" w:hAnsi="Times New Roman" w:eastAsia="仿宋_GB2312" w:cs="Times New Roman"/>
          <w:b/>
          <w:sz w:val="32"/>
          <w:szCs w:val="32"/>
        </w:rPr>
        <w:t>（二）项目</w:t>
      </w:r>
      <w:r>
        <w:rPr>
          <w:rFonts w:hint="eastAsia" w:ascii="Times New Roman" w:hAnsi="Times New Roman" w:eastAsia="仿宋_GB2312" w:cs="Times New Roman"/>
          <w:b/>
          <w:sz w:val="32"/>
          <w:szCs w:val="32"/>
          <w:lang w:val="en-US" w:eastAsia="zh-CN"/>
        </w:rPr>
        <w:t>管理</w:t>
      </w:r>
      <w:r>
        <w:rPr>
          <w:rFonts w:ascii="Times New Roman" w:hAnsi="Times New Roman" w:eastAsia="仿宋_GB2312" w:cs="Times New Roman"/>
          <w:b/>
          <w:sz w:val="32"/>
          <w:szCs w:val="32"/>
        </w:rPr>
        <w:t>情况</w:t>
      </w:r>
      <w:bookmarkEnd w:id="39"/>
      <w:bookmarkEnd w:id="40"/>
      <w:bookmarkEnd w:id="41"/>
    </w:p>
    <w:p>
      <w:pPr>
        <w:pStyle w:val="5"/>
        <w:snapToGrid/>
        <w:ind w:firstLine="640" w:firstLineChars="200"/>
        <w:rPr>
          <w:rFonts w:ascii="Times New Roman" w:hAnsi="Times New Roman" w:eastAsia="仿宋_GB2312" w:cs="Times New Roman"/>
          <w:sz w:val="32"/>
          <w:szCs w:val="32"/>
        </w:rPr>
      </w:pPr>
      <w:bookmarkStart w:id="42" w:name="_Toc14889"/>
      <w:bookmarkStart w:id="43" w:name="_Toc120"/>
      <w:bookmarkStart w:id="44" w:name="_Toc2580"/>
      <w:r>
        <w:rPr>
          <w:rFonts w:hint="eastAsia" w:ascii="Times New Roman" w:hAnsi="Times New Roman" w:eastAsia="仿宋_GB2312" w:cs="Times New Roman"/>
          <w:sz w:val="32"/>
          <w:szCs w:val="32"/>
        </w:rPr>
        <w:t>中央政法转移支付办案费</w:t>
      </w:r>
      <w:r>
        <w:rPr>
          <w:rFonts w:hint="eastAsia" w:ascii="Times New Roman" w:hAnsi="Times New Roman" w:eastAsia="仿宋_GB2312" w:cs="Times New Roman"/>
          <w:sz w:val="32"/>
          <w:szCs w:val="32"/>
          <w:lang w:val="en-US" w:eastAsia="zh-CN"/>
        </w:rPr>
        <w:t>在差旅费报销上严格执行差旅费管理相关办法、办公用品采购在电子卖场进行采购、专业材料及设备购置上需要进行相关报批及公开招投标的均办理了相关手续。对项目资金相关凭证进行查看时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差旅费住宿支付使用公务卡进行结算、住宿标准未超标、伙食补助按标准报销、未住宿的出差补助后附派车单、不符合规定的市内交通补助申请予以核减，办公用品购置后附验收单、领用单，专业设备购置进行了党委会决议、财政评审、市政府批复、招投标程序、验收程序等。从</w:t>
      </w:r>
      <w:r>
        <w:rPr>
          <w:rFonts w:ascii="Times New Roman" w:hAnsi="Times New Roman" w:eastAsia="仿宋_GB2312" w:cs="Times New Roman"/>
          <w:sz w:val="32"/>
          <w:szCs w:val="32"/>
        </w:rPr>
        <w:t>查看</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资料</w:t>
      </w:r>
      <w:r>
        <w:rPr>
          <w:rFonts w:hint="eastAsia" w:ascii="Times New Roman" w:hAnsi="Times New Roman" w:eastAsia="仿宋_GB2312" w:cs="Times New Roman"/>
          <w:sz w:val="32"/>
          <w:szCs w:val="32"/>
          <w:lang w:val="en-US" w:eastAsia="zh-CN"/>
        </w:rPr>
        <w:t>显示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市公安局</w:t>
      </w:r>
      <w:r>
        <w:rPr>
          <w:rFonts w:ascii="Times New Roman" w:hAnsi="Times New Roman" w:eastAsia="仿宋_GB2312" w:cs="Times New Roman"/>
          <w:sz w:val="32"/>
          <w:szCs w:val="32"/>
        </w:rPr>
        <w:t>在项目管理方面执行</w:t>
      </w:r>
      <w:r>
        <w:rPr>
          <w:rFonts w:hint="eastAsia" w:ascii="Times New Roman" w:hAnsi="Times New Roman" w:eastAsia="仿宋_GB2312" w:cs="Times New Roman"/>
          <w:sz w:val="32"/>
          <w:szCs w:val="32"/>
          <w:lang w:val="en-US" w:eastAsia="zh-CN"/>
        </w:rPr>
        <w:t>良</w:t>
      </w:r>
      <w:r>
        <w:rPr>
          <w:rFonts w:ascii="Times New Roman" w:hAnsi="Times New Roman" w:eastAsia="仿宋_GB2312" w:cs="Times New Roman"/>
          <w:sz w:val="32"/>
          <w:szCs w:val="32"/>
        </w:rPr>
        <w:t>好。</w:t>
      </w:r>
    </w:p>
    <w:p>
      <w:pPr>
        <w:numPr>
          <w:ilvl w:val="0"/>
          <w:numId w:val="0"/>
        </w:numPr>
        <w:ind w:firstLine="642" w:firstLineChars="200"/>
        <w:outlineLvl w:val="1"/>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项目绩效情况</w:t>
      </w:r>
      <w:bookmarkEnd w:id="42"/>
      <w:bookmarkEnd w:id="43"/>
      <w:bookmarkEnd w:id="44"/>
    </w:p>
    <w:p>
      <w:pPr>
        <w:ind w:firstLine="640" w:firstLineChars="200"/>
        <w:rPr>
          <w:rFonts w:ascii="Times New Roman" w:hAnsi="Times New Roman" w:cs="Times New Roma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中央政法转移支付办案费</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用于保障公安机关办案差旅费、业务委托费、专用材料购置费等，</w:t>
      </w:r>
      <w:r>
        <w:rPr>
          <w:rFonts w:hint="eastAsia" w:ascii="Times New Roman" w:hAnsi="Times New Roman" w:eastAsia="仿宋_GB2312" w:cs="Times New Roman"/>
          <w:sz w:val="32"/>
          <w:szCs w:val="32"/>
        </w:rPr>
        <w:t>有效保障</w:t>
      </w:r>
      <w:r>
        <w:rPr>
          <w:rFonts w:hint="eastAsia" w:ascii="Times New Roman" w:hAnsi="Times New Roman" w:eastAsia="仿宋_GB2312" w:cs="Times New Roman"/>
          <w:sz w:val="32"/>
          <w:szCs w:val="32"/>
          <w:lang w:val="en-US" w:eastAsia="zh-CN"/>
        </w:rPr>
        <w:t>公安</w:t>
      </w:r>
      <w:r>
        <w:rPr>
          <w:rFonts w:hint="eastAsia" w:ascii="Times New Roman" w:hAnsi="Times New Roman" w:eastAsia="仿宋_GB2312" w:cs="Times New Roman"/>
          <w:sz w:val="32"/>
          <w:szCs w:val="32"/>
        </w:rPr>
        <w:t>各项</w:t>
      </w:r>
      <w:r>
        <w:rPr>
          <w:rFonts w:hint="eastAsia" w:ascii="Times New Roman" w:hAnsi="Times New Roman" w:eastAsia="仿宋_GB2312" w:cs="Times New Roman"/>
          <w:sz w:val="32"/>
          <w:szCs w:val="32"/>
          <w:lang w:val="en-US" w:eastAsia="zh-CN"/>
        </w:rPr>
        <w:t>办案</w:t>
      </w:r>
      <w:r>
        <w:rPr>
          <w:rFonts w:hint="eastAsia" w:ascii="Times New Roman" w:hAnsi="Times New Roman" w:eastAsia="仿宋_GB2312" w:cs="Times New Roman"/>
          <w:sz w:val="32"/>
          <w:szCs w:val="32"/>
        </w:rPr>
        <w:t>业务需要，促进</w:t>
      </w:r>
      <w:r>
        <w:rPr>
          <w:rFonts w:hint="eastAsia" w:ascii="Times New Roman" w:hAnsi="Times New Roman" w:eastAsia="仿宋_GB2312" w:cs="Times New Roman"/>
          <w:sz w:val="32"/>
          <w:szCs w:val="32"/>
          <w:lang w:val="en-US" w:eastAsia="zh-CN"/>
        </w:rPr>
        <w:t>公安</w:t>
      </w:r>
      <w:r>
        <w:rPr>
          <w:rFonts w:hint="eastAsia" w:ascii="Times New Roman" w:hAnsi="Times New Roman" w:eastAsia="仿宋_GB2312" w:cs="Times New Roman"/>
          <w:sz w:val="32"/>
          <w:szCs w:val="32"/>
        </w:rPr>
        <w:t>工作上新台阶</w:t>
      </w:r>
      <w:r>
        <w:rPr>
          <w:rFonts w:ascii="Times New Roman" w:hAnsi="Times New Roman" w:eastAsia="仿宋_GB2312" w:cs="Times New Roman"/>
          <w:sz w:val="32"/>
          <w:szCs w:val="32"/>
        </w:rPr>
        <w:t>，取得了良好的社会效益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经济效益、生态效益</w:t>
      </w:r>
      <w:r>
        <w:rPr>
          <w:rFonts w:ascii="Times New Roman" w:hAnsi="Times New Roman" w:eastAsia="仿宋_GB2312" w:cs="Times New Roman"/>
          <w:sz w:val="32"/>
          <w:szCs w:val="32"/>
        </w:rPr>
        <w:t>，具体绩效如下：</w:t>
      </w:r>
    </w:p>
    <w:p>
      <w:pPr>
        <w:ind w:firstLine="642" w:firstLineChars="200"/>
        <w:outlineLvl w:val="2"/>
        <w:rPr>
          <w:rFonts w:hint="default" w:ascii="Times New Roman" w:hAnsi="Times New Roman" w:eastAsia="仿宋_GB2312" w:cs="Times New Roman"/>
          <w:b/>
          <w:sz w:val="32"/>
          <w:szCs w:val="32"/>
          <w:lang w:val="en-US" w:eastAsia="zh-CN"/>
        </w:rPr>
      </w:pPr>
      <w:bookmarkStart w:id="45" w:name="_Toc9273"/>
      <w:bookmarkStart w:id="46" w:name="_Toc17898"/>
      <w:bookmarkStart w:id="47" w:name="_Toc25972"/>
      <w:r>
        <w:rPr>
          <w:rFonts w:ascii="Times New Roman" w:hAnsi="Times New Roman" w:eastAsia="仿宋_GB2312" w:cs="Times New Roman"/>
          <w:b/>
          <w:sz w:val="32"/>
          <w:szCs w:val="32"/>
        </w:rPr>
        <w:t>1.</w:t>
      </w:r>
      <w:bookmarkEnd w:id="45"/>
      <w:bookmarkEnd w:id="46"/>
      <w:bookmarkEnd w:id="47"/>
      <w:r>
        <w:rPr>
          <w:rFonts w:hint="eastAsia" w:ascii="Times New Roman" w:hAnsi="Times New Roman" w:eastAsia="仿宋_GB2312" w:cs="Times New Roman"/>
          <w:b/>
          <w:sz w:val="32"/>
          <w:szCs w:val="32"/>
          <w:lang w:val="en-US" w:eastAsia="zh-CN"/>
        </w:rPr>
        <w:t>开展各类专项行动，</w:t>
      </w:r>
      <w:r>
        <w:rPr>
          <w:rFonts w:hint="eastAsia" w:ascii="Times New Roman" w:hAnsi="Times New Roman" w:eastAsia="仿宋_GB2312" w:cs="Times New Roman"/>
          <w:b/>
          <w:sz w:val="32"/>
          <w:szCs w:val="32"/>
        </w:rPr>
        <w:t>打击各项突出违法犯罪效果显著</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维护社会稳定</w:t>
      </w:r>
    </w:p>
    <w:p>
      <w:pPr>
        <w:pStyle w:val="5"/>
        <w:snapToGrid/>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rPr>
        <w:t>“净风2号”行动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侦破黑社会性质有组织犯罪案件2起、侦破恶势力集团案件11起</w:t>
      </w:r>
      <w:r>
        <w:rPr>
          <w:rFonts w:hint="eastAsia" w:ascii="Times New Roman" w:hAnsi="Times New Roman" w:eastAsia="仿宋_GB2312" w:cs="Times New Roman"/>
          <w:sz w:val="32"/>
          <w:szCs w:val="32"/>
          <w:lang w:eastAsia="zh-CN"/>
        </w:rPr>
        <w:t>。开展“利剑护蕾”专项行动，全市发生性侵未成年人现行案件160起，破案160起，实现积案8起全破、逃犯18名全部追回。开展严打养老违法诈骗犯罪专项行动，收到举报线索28条，现已全部办结。侦破养老诈骗案件106起，抓获212人，追赃挽损6323万。</w:t>
      </w:r>
    </w:p>
    <w:p>
      <w:pPr>
        <w:ind w:firstLine="642" w:firstLineChars="200"/>
        <w:outlineLvl w:val="2"/>
        <w:rPr>
          <w:rFonts w:hint="eastAsia" w:ascii="Times New Roman" w:hAnsi="Times New Roman" w:eastAsia="仿宋_GB2312" w:cs="Times New Roman"/>
          <w:b/>
          <w:bCs/>
          <w:sz w:val="32"/>
          <w:szCs w:val="32"/>
          <w:lang w:eastAsia="zh-CN"/>
        </w:rPr>
      </w:pPr>
      <w:bookmarkStart w:id="48" w:name="_Toc9981"/>
      <w:bookmarkStart w:id="49" w:name="_Toc27355"/>
      <w:bookmarkStart w:id="50" w:name="_Toc17681"/>
      <w:r>
        <w:rPr>
          <w:rFonts w:ascii="Times New Roman" w:hAnsi="Times New Roman" w:eastAsia="仿宋_GB2312" w:cs="Times New Roman"/>
          <w:b/>
          <w:bCs/>
          <w:sz w:val="32"/>
          <w:szCs w:val="32"/>
        </w:rPr>
        <w:t>2.</w:t>
      </w:r>
      <w:bookmarkEnd w:id="48"/>
      <w:bookmarkEnd w:id="49"/>
      <w:bookmarkEnd w:id="50"/>
      <w:r>
        <w:rPr>
          <w:rFonts w:hint="eastAsia" w:ascii="Times New Roman" w:hAnsi="Times New Roman" w:eastAsia="仿宋_GB2312" w:cs="Times New Roman"/>
          <w:b/>
          <w:bCs/>
          <w:sz w:val="32"/>
          <w:szCs w:val="32"/>
        </w:rPr>
        <w:t>重拳打击电信网络诈骗犯罪</w:t>
      </w:r>
      <w:r>
        <w:rPr>
          <w:rFonts w:hint="eastAsia" w:ascii="Times New Roman" w:hAnsi="Times New Roman" w:eastAsia="仿宋_GB2312" w:cs="Times New Roman"/>
          <w:b/>
          <w:bCs/>
          <w:sz w:val="32"/>
          <w:szCs w:val="32"/>
          <w:lang w:eastAsia="zh-CN"/>
        </w:rPr>
        <w:t>，维护人民群众合法权益</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rPr>
        <w:t>全市立电诈案件3337起，同比下降15.39%</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破获电诈案件1558起，同比上升110.93%，刑拘犯罪嫌疑人3261人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同比上升85.60%，百警刑拘数65.99</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打击治理效能明显提升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全市电信诈骗受害群众损失金额 11051 万元，同比下降54.2%，初步实现了“两降两升”目标。七类涉诈重点人员总数1065人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综合核减780人,现存285 人,核减率73.24%。全市涉案银行卡线索同比分别下降39.82%，93.52%，“两卡”问题得到有效控制。全市国家反诈中心APP注册用户总数139万余人</w:t>
      </w:r>
      <w:r>
        <w:rPr>
          <w:rFonts w:hint="eastAsia" w:ascii="仿宋_GB2312" w:eastAsia="仿宋_GB2312"/>
          <w:sz w:val="32"/>
          <w:szCs w:val="32"/>
        </w:rPr>
        <w:t>。</w:t>
      </w:r>
    </w:p>
    <w:p>
      <w:pPr>
        <w:ind w:firstLine="642" w:firstLineChars="200"/>
        <w:outlineLvl w:val="2"/>
        <w:rPr>
          <w:rFonts w:hint="default" w:ascii="Times New Roman" w:hAnsi="Times New Roman" w:eastAsia="仿宋_GB2312" w:cs="Times New Roman"/>
          <w:b/>
          <w:bCs/>
          <w:sz w:val="32"/>
          <w:szCs w:val="32"/>
          <w:lang w:val="en-US" w:eastAsia="zh-CN"/>
        </w:rPr>
      </w:pPr>
      <w:bookmarkStart w:id="51" w:name="_Toc18328"/>
      <w:bookmarkStart w:id="52" w:name="_Toc22178"/>
      <w:bookmarkStart w:id="53" w:name="_Toc8854"/>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严厉打击整治经济犯罪</w:t>
      </w:r>
      <w:r>
        <w:rPr>
          <w:rFonts w:hint="eastAsia" w:ascii="Times New Roman" w:hAnsi="Times New Roman" w:eastAsia="仿宋_GB2312" w:cs="Times New Roman"/>
          <w:b/>
          <w:bCs/>
          <w:sz w:val="32"/>
          <w:szCs w:val="32"/>
          <w:lang w:eastAsia="zh-CN"/>
        </w:rPr>
        <w:t>，</w:t>
      </w:r>
      <w:bookmarkEnd w:id="51"/>
      <w:bookmarkEnd w:id="52"/>
      <w:bookmarkEnd w:id="53"/>
      <w:r>
        <w:rPr>
          <w:rFonts w:hint="eastAsia" w:ascii="Times New Roman" w:hAnsi="Times New Roman" w:eastAsia="仿宋_GB2312" w:cs="Times New Roman"/>
          <w:b/>
          <w:bCs/>
          <w:sz w:val="32"/>
          <w:szCs w:val="32"/>
          <w:lang w:val="en-US" w:eastAsia="zh-CN"/>
        </w:rPr>
        <w:t>维护社会经济秩序</w:t>
      </w:r>
    </w:p>
    <w:p>
      <w:pPr>
        <w:ind w:firstLine="640" w:firstLineChars="200"/>
        <w:rPr>
          <w:rFonts w:ascii="Times New Roman" w:hAnsi="Times New Roman" w:eastAsia="仿宋_GB2312" w:cs="Times New Roman"/>
          <w:sz w:val="32"/>
          <w:szCs w:val="32"/>
        </w:rPr>
      </w:pPr>
      <w:bookmarkStart w:id="54" w:name="_Toc21012"/>
      <w:bookmarkStart w:id="55" w:name="_Toc1123"/>
      <w:bookmarkStart w:id="56" w:name="_Toc18989"/>
      <w:r>
        <w:rPr>
          <w:rFonts w:hint="eastAsia" w:ascii="Times New Roman" w:hAnsi="Times New Roman" w:eastAsia="仿宋_GB2312" w:cs="Times New Roman"/>
          <w:sz w:val="32"/>
          <w:szCs w:val="32"/>
          <w:lang w:val="en-US" w:eastAsia="zh-CN"/>
        </w:rPr>
        <w:t>2022年破获</w:t>
      </w:r>
      <w:r>
        <w:rPr>
          <w:rFonts w:hint="eastAsia" w:ascii="Times New Roman" w:hAnsi="Times New Roman" w:eastAsia="仿宋_GB2312" w:cs="Times New Roman"/>
          <w:sz w:val="32"/>
          <w:szCs w:val="32"/>
        </w:rPr>
        <w:t>经济犯罪案件199起，刑事拘留 306人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移送起诉415人。重点侦办了湖南梅溪湖建设有限公司涉嫌投标案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“3.22”非法经营重金属超标稻谷案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“9.30”虚开增值税专用发票案等大要案件。</w:t>
      </w:r>
      <w:bookmarkEnd w:id="54"/>
      <w:bookmarkEnd w:id="55"/>
      <w:bookmarkEnd w:id="56"/>
    </w:p>
    <w:p>
      <w:pPr>
        <w:ind w:firstLine="642" w:firstLineChars="200"/>
        <w:outlineLvl w:val="2"/>
        <w:rPr>
          <w:rFonts w:ascii="Times New Roman" w:hAnsi="Times New Roman" w:eastAsia="仿宋_GB2312" w:cs="Times New Roman"/>
          <w:b/>
          <w:bCs/>
          <w:sz w:val="32"/>
          <w:szCs w:val="32"/>
        </w:rPr>
      </w:pPr>
      <w:bookmarkStart w:id="57" w:name="_Toc24515"/>
      <w:bookmarkStart w:id="58" w:name="_Toc16339"/>
      <w:bookmarkStart w:id="59" w:name="_Toc23017"/>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打击破坏生态环境犯罪</w:t>
      </w:r>
      <w:bookmarkEnd w:id="57"/>
      <w:bookmarkEnd w:id="58"/>
      <w:bookmarkEnd w:id="59"/>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rPr>
        <w:t>推动形成人与自然和谐共生的绿色发展新格局</w:t>
      </w:r>
    </w:p>
    <w:p>
      <w:pPr>
        <w:ind w:firstLine="640" w:firstLineChars="200"/>
        <w:rPr>
          <w:rFonts w:hint="eastAsia" w:ascii="Times New Roman" w:hAnsi="Times New Roman" w:eastAsia="仿宋_GB2312" w:cs="Times New Roman"/>
          <w:sz w:val="32"/>
          <w:szCs w:val="32"/>
        </w:rPr>
      </w:pPr>
      <w:bookmarkStart w:id="60" w:name="_Toc18433"/>
      <w:bookmarkStart w:id="61" w:name="_Toc20443"/>
      <w:bookmarkStart w:id="62" w:name="_Toc7201"/>
      <w:r>
        <w:rPr>
          <w:rFonts w:hint="eastAsia" w:ascii="Times New Roman" w:hAnsi="Times New Roman" w:eastAsia="仿宋_GB2312" w:cs="Times New Roman"/>
          <w:sz w:val="32"/>
          <w:szCs w:val="32"/>
        </w:rPr>
        <w:t>开展“生态三湘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专项行动，破获生态环境类刑事案件259起。移送起诉414人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行政拘留44人。侦办非法捕捞、非法采矿等案件 195 起，移送起诉386人。岳阳“十年禁渔”工作被省级媒体宣传报道12次，中央级媒体宣传报道20次。</w:t>
      </w:r>
      <w:bookmarkEnd w:id="60"/>
      <w:bookmarkEnd w:id="61"/>
      <w:bookmarkEnd w:id="62"/>
    </w:p>
    <w:p>
      <w:pPr>
        <w:pStyle w:val="2"/>
        <w:numPr>
          <w:ilvl w:val="0"/>
          <w:numId w:val="1"/>
        </w:numPr>
        <w:ind w:left="537" w:leftChars="0" w:firstLine="0" w:firstLineChars="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持续深化禁毒人民战争，保护公民身心健康</w:t>
      </w:r>
    </w:p>
    <w:p>
      <w:pPr>
        <w:ind w:firstLine="640" w:firstLineChars="200"/>
        <w:rPr>
          <w:rFonts w:hint="default"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全市破获毒品刑事案件共298起，抓获犯罪嫌疑人399人，移送起诉人数毒品犯罪嫌疑人552人，查处吸毒人数850人，共缴获毒品947千克:破获部级目标案件5起(其中部级集群打零案件2起)、省级目标案件4起(4起均为省级集群打零案件)。</w:t>
      </w:r>
    </w:p>
    <w:p>
      <w:pPr>
        <w:ind w:firstLine="642" w:firstLineChars="200"/>
        <w:outlineLvl w:val="0"/>
        <w:rPr>
          <w:rFonts w:ascii="Times New Roman" w:hAnsi="Times New Roman" w:eastAsia="黑体" w:cs="Times New Roman"/>
          <w:b/>
          <w:bCs/>
          <w:sz w:val="32"/>
          <w:szCs w:val="32"/>
        </w:rPr>
      </w:pPr>
      <w:bookmarkStart w:id="63" w:name="_Toc11062"/>
      <w:bookmarkStart w:id="64" w:name="_Toc11243"/>
      <w:bookmarkStart w:id="65" w:name="_Toc755"/>
      <w:r>
        <w:rPr>
          <w:rFonts w:hint="eastAsia" w:ascii="Times New Roman" w:hAnsi="Times New Roman" w:eastAsia="黑体" w:cs="Times New Roman"/>
          <w:b/>
          <w:bCs/>
          <w:sz w:val="32"/>
          <w:szCs w:val="32"/>
          <w:lang w:val="en-US" w:eastAsia="zh-CN"/>
        </w:rPr>
        <w:t>四</w:t>
      </w:r>
      <w:r>
        <w:rPr>
          <w:rFonts w:ascii="Times New Roman" w:hAnsi="Times New Roman" w:eastAsia="黑体" w:cs="Times New Roman"/>
          <w:b/>
          <w:bCs/>
          <w:sz w:val="32"/>
          <w:szCs w:val="32"/>
        </w:rPr>
        <w:t>、综合评价情况及评价结论</w:t>
      </w:r>
      <w:bookmarkEnd w:id="63"/>
      <w:bookmarkEnd w:id="64"/>
      <w:bookmarkEnd w:id="65"/>
    </w:p>
    <w:p>
      <w:pPr>
        <w:ind w:firstLine="640" w:firstLineChars="200"/>
        <w:rPr>
          <w:rFonts w:ascii="Times New Roman" w:hAnsi="Times New Roman" w:cs="Times New Roman"/>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岳阳市公安局</w:t>
      </w:r>
      <w:r>
        <w:rPr>
          <w:rFonts w:hint="eastAsia" w:ascii="Times New Roman" w:hAnsi="Times New Roman" w:eastAsia="仿宋_GB2312" w:cs="Times New Roman"/>
          <w:sz w:val="32"/>
          <w:szCs w:val="32"/>
          <w:lang w:val="en-US" w:eastAsia="zh-CN"/>
        </w:rPr>
        <w:t>2022年度</w:t>
      </w:r>
      <w:r>
        <w:rPr>
          <w:rFonts w:hint="eastAsia" w:ascii="Times New Roman" w:hAnsi="Times New Roman" w:eastAsia="仿宋_GB2312" w:cs="Times New Roman"/>
          <w:sz w:val="32"/>
          <w:szCs w:val="32"/>
        </w:rPr>
        <w:t>中央政法转移支付办案费项目绩效评价指标表</w:t>
      </w:r>
      <w:r>
        <w:rPr>
          <w:rFonts w:ascii="Times New Roman" w:hAnsi="Times New Roman" w:eastAsia="仿宋_GB2312" w:cs="Times New Roman"/>
          <w:sz w:val="32"/>
          <w:szCs w:val="32"/>
        </w:rPr>
        <w:t>》，我们通过定量和定性分析，202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岳阳市</w:t>
      </w:r>
      <w:r>
        <w:rPr>
          <w:rFonts w:hint="eastAsia" w:ascii="Times New Roman" w:hAnsi="Times New Roman" w:eastAsia="仿宋_GB2312" w:cs="Times New Roman"/>
          <w:sz w:val="32"/>
          <w:szCs w:val="32"/>
        </w:rPr>
        <w:t>中央政法转移支付办案费</w:t>
      </w:r>
      <w:r>
        <w:rPr>
          <w:rFonts w:ascii="Times New Roman" w:hAnsi="Times New Roman" w:eastAsia="仿宋_GB2312" w:cs="Times New Roman"/>
          <w:sz w:val="32"/>
          <w:szCs w:val="32"/>
        </w:rPr>
        <w:t>专项资金绩效评价得分为</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分（详见附件1），评价等级为“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其中项目决策总分15分，评价得分1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分，主要扣分原因为项目预期产出效益和效果</w:t>
      </w:r>
      <w:r>
        <w:rPr>
          <w:rFonts w:hint="eastAsia" w:ascii="Times New Roman" w:hAnsi="Times New Roman" w:eastAsia="仿宋_GB2312" w:cs="Times New Roman"/>
          <w:sz w:val="32"/>
          <w:szCs w:val="32"/>
          <w:lang w:val="en-US" w:eastAsia="zh-CN"/>
        </w:rPr>
        <w:t>设置不够细化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绩效目标未细化分解为具体的绩效指标；项目过程总分25分，评价得分21分，主要扣分原因为管理制度不完善、</w:t>
      </w:r>
      <w:r>
        <w:rPr>
          <w:rFonts w:hint="eastAsia" w:ascii="Times New Roman" w:hAnsi="Times New Roman" w:eastAsia="仿宋_GB2312" w:cs="Times New Roman"/>
          <w:sz w:val="32"/>
          <w:szCs w:val="32"/>
          <w:lang w:val="en-US" w:eastAsia="zh-CN"/>
        </w:rPr>
        <w:t>会计核算</w:t>
      </w:r>
      <w:r>
        <w:rPr>
          <w:rFonts w:hint="eastAsia" w:ascii="Times New Roman" w:hAnsi="Times New Roman" w:eastAsia="仿宋_GB2312" w:cs="Times New Roman"/>
          <w:sz w:val="32"/>
          <w:szCs w:val="32"/>
        </w:rPr>
        <w:t>；项目产出总分</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分，评；项目效益总分</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rPr>
        <w:t>分，评价得分</w:t>
      </w:r>
      <w:r>
        <w:rPr>
          <w:rFonts w:hint="eastAsia" w:ascii="Times New Roman" w:hAnsi="Times New Roman" w:eastAsia="仿宋_GB2312" w:cs="Times New Roman"/>
          <w:sz w:val="32"/>
          <w:szCs w:val="32"/>
          <w:lang w:val="en-US" w:eastAsia="zh-CN"/>
        </w:rPr>
        <w:t>38</w:t>
      </w:r>
      <w:r>
        <w:rPr>
          <w:rFonts w:hint="eastAsia" w:ascii="Times New Roman" w:hAnsi="Times New Roman" w:eastAsia="仿宋_GB2312" w:cs="Times New Roman"/>
          <w:sz w:val="32"/>
          <w:szCs w:val="32"/>
        </w:rPr>
        <w:t>分，主要扣分原因</w:t>
      </w:r>
      <w:r>
        <w:rPr>
          <w:rFonts w:hint="eastAsia" w:ascii="Times New Roman" w:hAnsi="Times New Roman" w:eastAsia="仿宋_GB2312" w:cs="Times New Roman"/>
          <w:sz w:val="32"/>
          <w:szCs w:val="32"/>
          <w:lang w:val="en-US" w:eastAsia="zh-CN"/>
        </w:rPr>
        <w:t>为社</w:t>
      </w:r>
      <w:r>
        <w:rPr>
          <w:rFonts w:hint="default" w:ascii="Times New Roman" w:hAnsi="Times New Roman" w:eastAsia="仿宋_GB2312" w:cs="Times New Roman"/>
          <w:sz w:val="32"/>
          <w:szCs w:val="32"/>
          <w:lang w:val="en-US" w:eastAsia="zh-CN"/>
        </w:rPr>
        <w:t>会治安防控体系健全性</w:t>
      </w:r>
      <w:r>
        <w:rPr>
          <w:rFonts w:hint="eastAsia" w:ascii="Times New Roman" w:hAnsi="Times New Roman" w:eastAsia="仿宋_GB2312" w:cs="Times New Roman"/>
          <w:sz w:val="32"/>
          <w:szCs w:val="32"/>
          <w:lang w:val="en-US" w:eastAsia="zh-CN"/>
        </w:rPr>
        <w:t>因项目资金支持有限提升效果仍有待提升</w:t>
      </w:r>
      <w:r>
        <w:rPr>
          <w:rFonts w:hint="eastAsia" w:ascii="Times New Roman" w:hAnsi="Times New Roman" w:eastAsia="仿宋_GB2312" w:cs="Times New Roman"/>
          <w:sz w:val="32"/>
          <w:szCs w:val="32"/>
        </w:rPr>
        <w:t>。</w:t>
      </w:r>
    </w:p>
    <w:p>
      <w:pPr>
        <w:ind w:firstLine="642" w:firstLineChars="200"/>
        <w:outlineLvl w:val="0"/>
        <w:rPr>
          <w:rFonts w:hint="default" w:ascii="Times New Roman" w:hAnsi="Times New Roman" w:eastAsia="仿宋_GB2312" w:cs="Times New Roman"/>
          <w:b/>
          <w:bCs/>
          <w:sz w:val="32"/>
          <w:szCs w:val="32"/>
          <w:lang w:val="en-US" w:eastAsia="zh-CN"/>
        </w:rPr>
      </w:pPr>
      <w:bookmarkStart w:id="66" w:name="_Toc1171"/>
      <w:bookmarkStart w:id="67" w:name="_Toc7086"/>
      <w:bookmarkStart w:id="68" w:name="_Toc19395"/>
      <w:r>
        <w:rPr>
          <w:rFonts w:hint="eastAsia" w:ascii="Times New Roman" w:hAnsi="Times New Roman" w:eastAsia="黑体" w:cs="Times New Roman"/>
          <w:b/>
          <w:bCs/>
          <w:sz w:val="32"/>
          <w:szCs w:val="32"/>
          <w:lang w:val="en-US" w:eastAsia="zh-CN"/>
        </w:rPr>
        <w:t>五</w:t>
      </w:r>
      <w:r>
        <w:rPr>
          <w:rFonts w:ascii="Times New Roman" w:hAnsi="Times New Roman" w:eastAsia="黑体" w:cs="Times New Roman"/>
          <w:b/>
          <w:bCs/>
          <w:sz w:val="32"/>
          <w:szCs w:val="32"/>
        </w:rPr>
        <w:t>、存在问题</w:t>
      </w:r>
      <w:bookmarkEnd w:id="66"/>
      <w:bookmarkEnd w:id="67"/>
      <w:bookmarkEnd w:id="68"/>
      <w:bookmarkStart w:id="69" w:name="_Toc29164"/>
      <w:bookmarkStart w:id="70" w:name="_Toc32368"/>
      <w:bookmarkStart w:id="71" w:name="_Toc29278"/>
    </w:p>
    <w:p>
      <w:pPr>
        <w:ind w:firstLine="642" w:firstLineChars="200"/>
        <w:outlineLvl w:val="1"/>
        <w:rPr>
          <w:rFonts w:hint="default" w:ascii="Times New Roman" w:hAnsi="Times New Roman" w:eastAsia="仿宋_GB2312" w:cs="Times New Roman"/>
          <w:b/>
          <w:bCs/>
          <w:sz w:val="32"/>
          <w:szCs w:val="32"/>
        </w:rPr>
      </w:pPr>
      <w:bookmarkStart w:id="72" w:name="_Toc1699"/>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w:t>
      </w:r>
      <w:bookmarkEnd w:id="69"/>
      <w:bookmarkEnd w:id="72"/>
      <w:r>
        <w:rPr>
          <w:rFonts w:hint="eastAsia" w:ascii="Times New Roman" w:hAnsi="Times New Roman" w:eastAsia="仿宋_GB2312" w:cs="Times New Roman"/>
          <w:b/>
          <w:bCs/>
          <w:sz w:val="32"/>
          <w:szCs w:val="32"/>
          <w:lang w:val="en-US" w:eastAsia="zh-CN"/>
        </w:rPr>
        <w:t>个别</w:t>
      </w:r>
      <w:r>
        <w:rPr>
          <w:rFonts w:hint="default" w:ascii="Times New Roman" w:hAnsi="Times New Roman" w:eastAsia="仿宋_GB2312" w:cs="Times New Roman"/>
          <w:b/>
          <w:bCs/>
          <w:sz w:val="32"/>
          <w:szCs w:val="32"/>
        </w:rPr>
        <w:t>绩效目标设定可衡量性不高</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中央政法转移支付办案费设定的绩效指标细化、量化不够，未细化为清晰、可衡量的指标值，如质量指标为“依法依规办案”。</w:t>
      </w:r>
    </w:p>
    <w:p>
      <w:pPr>
        <w:ind w:firstLine="642" w:firstLineChars="200"/>
        <w:outlineLvl w:val="1"/>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（二）专项资金未专账核算</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中央政法转移支付办案费</w:t>
      </w:r>
      <w:r>
        <w:rPr>
          <w:rFonts w:hint="eastAsia" w:ascii="Times New Roman" w:hAnsi="Times New Roman" w:eastAsia="仿宋_GB2312" w:cs="Times New Roman"/>
          <w:sz w:val="32"/>
          <w:szCs w:val="32"/>
          <w:lang w:val="en-US" w:eastAsia="zh-CN"/>
        </w:rPr>
        <w:t>未设置专账或设置辅助明细对专项资金进行归集，从财务会计账及预算会计账中无法统计该专项资金支出情况，需从财政指标执行情况中获取资金支付情况</w:t>
      </w:r>
      <w:r>
        <w:rPr>
          <w:rFonts w:hint="default" w:ascii="Times New Roman" w:hAnsi="Times New Roman" w:eastAsia="仿宋_GB2312" w:cs="Times New Roman"/>
          <w:sz w:val="32"/>
          <w:szCs w:val="32"/>
        </w:rPr>
        <w:t>。</w:t>
      </w:r>
    </w:p>
    <w:p>
      <w:pPr>
        <w:pStyle w:val="2"/>
        <w:numPr>
          <w:ilvl w:val="0"/>
          <w:numId w:val="0"/>
        </w:numPr>
        <w:ind w:firstLine="642" w:firstLineChars="200"/>
        <w:outlineLvl w:val="1"/>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（三）未制定中央政法转移支付专项资金管理办法</w:t>
      </w:r>
    </w:p>
    <w:p>
      <w:pPr>
        <w:pStyle w:val="2"/>
        <w:numPr>
          <w:ilvl w:val="-1"/>
          <w:numId w:val="0"/>
        </w:numPr>
        <w:ind w:left="0" w:lef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专项资金使用及管理均按照局机关财务管理办法执行，未制定相关专项资金管理办法。</w:t>
      </w:r>
    </w:p>
    <w:bookmarkEnd w:id="70"/>
    <w:bookmarkEnd w:id="71"/>
    <w:p>
      <w:pPr>
        <w:ind w:firstLine="642" w:firstLineChars="200"/>
        <w:outlineLvl w:val="0"/>
        <w:rPr>
          <w:rFonts w:ascii="Times New Roman" w:hAnsi="Times New Roman" w:eastAsia="仿宋_GB2312" w:cs="Times New Roman"/>
          <w:b/>
          <w:bCs/>
          <w:sz w:val="32"/>
          <w:szCs w:val="32"/>
        </w:rPr>
      </w:pPr>
      <w:bookmarkStart w:id="73" w:name="_Toc31930"/>
      <w:bookmarkStart w:id="74" w:name="_Toc31316"/>
      <w:bookmarkStart w:id="75" w:name="_Toc21004"/>
      <w:r>
        <w:rPr>
          <w:rFonts w:hint="eastAsia" w:ascii="Times New Roman" w:hAnsi="Times New Roman" w:eastAsia="黑体" w:cs="Times New Roman"/>
          <w:b/>
          <w:bCs/>
          <w:sz w:val="32"/>
          <w:szCs w:val="32"/>
          <w:lang w:val="en-US" w:eastAsia="zh-CN"/>
        </w:rPr>
        <w:t>六</w:t>
      </w:r>
      <w:r>
        <w:rPr>
          <w:rFonts w:ascii="Times New Roman" w:hAnsi="Times New Roman" w:eastAsia="黑体" w:cs="Times New Roman"/>
          <w:b/>
          <w:bCs/>
          <w:sz w:val="32"/>
          <w:szCs w:val="32"/>
        </w:rPr>
        <w:t>、建议</w:t>
      </w:r>
      <w:bookmarkEnd w:id="73"/>
      <w:bookmarkEnd w:id="74"/>
      <w:bookmarkEnd w:id="75"/>
    </w:p>
    <w:p>
      <w:pPr>
        <w:pStyle w:val="5"/>
        <w:snapToGrid/>
        <w:ind w:firstLine="642" w:firstLineChars="200"/>
        <w:outlineLvl w:val="1"/>
        <w:rPr>
          <w:rFonts w:hint="eastAsia" w:ascii="Times New Roman" w:hAnsi="Times New Roman" w:eastAsia="仿宋_GB2312" w:cs="Times New Roman"/>
          <w:b/>
          <w:bCs/>
          <w:sz w:val="32"/>
          <w:szCs w:val="32"/>
          <w:lang w:val="en-US" w:eastAsia="zh-CN"/>
        </w:rPr>
      </w:pPr>
      <w:bookmarkStart w:id="76" w:name="_Toc17172"/>
      <w:bookmarkStart w:id="77" w:name="_Toc19952"/>
      <w:bookmarkStart w:id="78" w:name="_Toc14225"/>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一）绩效管理方面</w:t>
      </w:r>
      <w:bookmarkEnd w:id="76"/>
    </w:p>
    <w:p>
      <w:pPr>
        <w:pStyle w:val="5"/>
        <w:snapToGrid/>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预算单位应进一步强化绩效管理的责任意识，在申报项目预算时明确、细化、量化、合理的绩效目标，使绩效指标可衡量，确保绩效目标与资金计划的任务数相对应，便于绩效评价。</w:t>
      </w:r>
    </w:p>
    <w:p>
      <w:pPr>
        <w:pStyle w:val="5"/>
        <w:numPr>
          <w:ilvl w:val="-1"/>
          <w:numId w:val="0"/>
        </w:numPr>
        <w:snapToGrid/>
        <w:ind w:firstLine="642" w:firstLineChars="200"/>
        <w:outlineLvl w:val="1"/>
        <w:rPr>
          <w:rFonts w:hint="default" w:ascii="Times New Roman" w:hAnsi="Times New Roman" w:eastAsia="仿宋_GB2312" w:cs="Times New Roman"/>
          <w:b/>
          <w:bCs/>
          <w:sz w:val="32"/>
          <w:szCs w:val="32"/>
          <w:lang w:val="en-US" w:eastAsia="zh-CN"/>
        </w:rPr>
      </w:pPr>
      <w:bookmarkStart w:id="79" w:name="_Toc7808"/>
      <w:r>
        <w:rPr>
          <w:rFonts w:hint="eastAsia" w:ascii="Times New Roman" w:hAnsi="Times New Roman" w:eastAsia="仿宋_GB2312" w:cs="Times New Roman"/>
          <w:b/>
          <w:bCs/>
          <w:sz w:val="32"/>
          <w:szCs w:val="32"/>
          <w:lang w:val="en-US" w:eastAsia="zh-CN"/>
        </w:rPr>
        <w:t>（二）</w:t>
      </w:r>
      <w:bookmarkEnd w:id="79"/>
      <w:r>
        <w:rPr>
          <w:rFonts w:hint="eastAsia" w:ascii="Times New Roman" w:hAnsi="Times New Roman" w:eastAsia="仿宋_GB2312" w:cs="Times New Roman"/>
          <w:b/>
          <w:bCs/>
          <w:sz w:val="32"/>
          <w:szCs w:val="32"/>
          <w:lang w:val="en-US" w:eastAsia="zh-CN"/>
        </w:rPr>
        <w:t>设置辅助科目对专项资金进行归集</w:t>
      </w:r>
    </w:p>
    <w:p>
      <w:pPr>
        <w:pStyle w:val="5"/>
        <w:numPr>
          <w:ilvl w:val="-1"/>
          <w:numId w:val="0"/>
        </w:numPr>
        <w:snapToGrid/>
        <w:ind w:firstLine="640" w:firstLineChars="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资金使用单位对专项资金进行核算，可以设置辅助科目，做到会计账对专项资金的核算数据与预算执行指标数据一致。</w:t>
      </w:r>
      <w:bookmarkEnd w:id="77"/>
      <w:bookmarkEnd w:id="78"/>
    </w:p>
    <w:p>
      <w:pPr>
        <w:pStyle w:val="5"/>
        <w:numPr>
          <w:ilvl w:val="0"/>
          <w:numId w:val="2"/>
        </w:numPr>
        <w:snapToGrid/>
        <w:ind w:firstLine="640" w:firstLineChars="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制定专项资金管理制度</w:t>
      </w:r>
    </w:p>
    <w:p>
      <w:pPr>
        <w:pStyle w:val="5"/>
        <w:numPr>
          <w:ilvl w:val="0"/>
          <w:numId w:val="0"/>
        </w:numPr>
        <w:snapToGrid/>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针对专项资金，制定适应该专项资金管理的制度，强化专项资金的监督管理，确保资金使用有规可依。</w:t>
      </w:r>
    </w:p>
    <w:p>
      <w:pPr>
        <w:pStyle w:val="5"/>
        <w:ind w:firstLine="640" w:firstLineChars="200"/>
        <w:rPr>
          <w:rFonts w:ascii="Times New Roman" w:hAnsi="Times New Roman" w:eastAsia="仿宋_GB2312" w:cs="Times New Roman"/>
          <w:sz w:val="32"/>
          <w:szCs w:val="32"/>
        </w:rPr>
      </w:pPr>
    </w:p>
    <w:p>
      <w:pPr>
        <w:pStyle w:val="5"/>
        <w:numPr>
          <w:ilvl w:val="-1"/>
          <w:numId w:val="0"/>
        </w:numPr>
        <w:snapToGrid/>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附件:</w:t>
      </w:r>
    </w:p>
    <w:p>
      <w:pPr>
        <w:pStyle w:val="5"/>
        <w:numPr>
          <w:ilvl w:val="-1"/>
          <w:numId w:val="0"/>
        </w:numPr>
        <w:snapToGrid/>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岳阳市公安局2022年度中央政法转移支付办案费专项资金绩效评价指标表</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湖南中智诚联合会计师事务所      中国注册会计师：</w:t>
      </w:r>
    </w:p>
    <w:p>
      <w:pPr>
        <w:pStyle w:val="13"/>
        <w:ind w:firstLine="960" w:firstLineChars="300"/>
        <w:rPr>
          <w:rFonts w:ascii="Times New Roman" w:hAnsi="Times New Roman" w:cs="Times New Roman"/>
        </w:rPr>
      </w:pPr>
      <w:r>
        <w:rPr>
          <w:rFonts w:ascii="Times New Roman" w:hAnsi="Times New Roman" w:eastAsia="仿宋_GB2312" w:cs="Times New Roman"/>
          <w:sz w:val="32"/>
          <w:szCs w:val="32"/>
        </w:rPr>
        <w:t>（普通合伙）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中国·长沙               中国注册会计师：</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07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left:203.1pt;margin-top:-4.5pt;height:45pt;width:18.1pt;mso-position-horizontal-relative:margin;z-index:251660288;mso-width-relative:page;mso-height-relative:page;" filled="f" stroked="f" coordsize="21600,21600">
          <v:path/>
          <v:fill on="f" focussize="0,0"/>
          <v:stroke on="f" joinstyle="miter"/>
          <v:imagedata o:title=""/>
          <o:lock v:ext="edit"/>
          <v:textbox inset="0mm,0mm,0mm,0mm">
            <w:txbxContent>
              <w:p>
                <w:pPr>
                  <w:pStyle w:val="8"/>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B5102"/>
    <w:multiLevelType w:val="singleLevel"/>
    <w:tmpl w:val="210B5102"/>
    <w:lvl w:ilvl="0" w:tentative="0">
      <w:start w:val="5"/>
      <w:numFmt w:val="decimal"/>
      <w:lvlText w:val="%1."/>
      <w:lvlJc w:val="left"/>
      <w:pPr>
        <w:tabs>
          <w:tab w:val="left" w:pos="312"/>
        </w:tabs>
        <w:ind w:left="537" w:leftChars="0" w:firstLine="0" w:firstLineChars="0"/>
      </w:pPr>
    </w:lvl>
  </w:abstractNum>
  <w:abstractNum w:abstractNumId="1">
    <w:nsid w:val="6FEC8E90"/>
    <w:multiLevelType w:val="singleLevel"/>
    <w:tmpl w:val="6FEC8E9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mMmQzOGFlZmY3NzlkMDYzMzRmN2M1NDhkMDEzNDgifQ=="/>
  </w:docVars>
  <w:rsids>
    <w:rsidRoot w:val="00F4451D"/>
    <w:rsid w:val="00007E63"/>
    <w:rsid w:val="00095BD7"/>
    <w:rsid w:val="000B0C0A"/>
    <w:rsid w:val="000C3B8F"/>
    <w:rsid w:val="0018453A"/>
    <w:rsid w:val="001851D4"/>
    <w:rsid w:val="001E206B"/>
    <w:rsid w:val="001F2FC9"/>
    <w:rsid w:val="0020650A"/>
    <w:rsid w:val="00281108"/>
    <w:rsid w:val="0029053F"/>
    <w:rsid w:val="002B747B"/>
    <w:rsid w:val="002E5FAE"/>
    <w:rsid w:val="00306B09"/>
    <w:rsid w:val="003126BA"/>
    <w:rsid w:val="00381359"/>
    <w:rsid w:val="003B5FA8"/>
    <w:rsid w:val="00431600"/>
    <w:rsid w:val="004D1D90"/>
    <w:rsid w:val="00570958"/>
    <w:rsid w:val="006234D4"/>
    <w:rsid w:val="0062620A"/>
    <w:rsid w:val="006776C8"/>
    <w:rsid w:val="006C3B04"/>
    <w:rsid w:val="006E69F0"/>
    <w:rsid w:val="00711366"/>
    <w:rsid w:val="00766CFC"/>
    <w:rsid w:val="007954A2"/>
    <w:rsid w:val="007F2982"/>
    <w:rsid w:val="00877D88"/>
    <w:rsid w:val="008F6567"/>
    <w:rsid w:val="009224FE"/>
    <w:rsid w:val="009313FB"/>
    <w:rsid w:val="00940B15"/>
    <w:rsid w:val="00971E18"/>
    <w:rsid w:val="00993F36"/>
    <w:rsid w:val="009B78F1"/>
    <w:rsid w:val="00A20B40"/>
    <w:rsid w:val="00A70DEC"/>
    <w:rsid w:val="00A86D01"/>
    <w:rsid w:val="00B84194"/>
    <w:rsid w:val="00BA21BE"/>
    <w:rsid w:val="00BA777F"/>
    <w:rsid w:val="00BC62A0"/>
    <w:rsid w:val="00C46CE3"/>
    <w:rsid w:val="00D66BE2"/>
    <w:rsid w:val="00D92E28"/>
    <w:rsid w:val="00D9367F"/>
    <w:rsid w:val="00DC415A"/>
    <w:rsid w:val="00E0554F"/>
    <w:rsid w:val="00E50F3B"/>
    <w:rsid w:val="00F4451D"/>
    <w:rsid w:val="00F75C59"/>
    <w:rsid w:val="00F901FE"/>
    <w:rsid w:val="00F945F4"/>
    <w:rsid w:val="00FB0171"/>
    <w:rsid w:val="00FE5965"/>
    <w:rsid w:val="012A7A76"/>
    <w:rsid w:val="016A1EF8"/>
    <w:rsid w:val="0222390F"/>
    <w:rsid w:val="02F266B7"/>
    <w:rsid w:val="0379657D"/>
    <w:rsid w:val="03AC6B60"/>
    <w:rsid w:val="04E83035"/>
    <w:rsid w:val="04F234AB"/>
    <w:rsid w:val="05EA2FAB"/>
    <w:rsid w:val="062B705F"/>
    <w:rsid w:val="07481B68"/>
    <w:rsid w:val="083F3078"/>
    <w:rsid w:val="08D61769"/>
    <w:rsid w:val="092840BA"/>
    <w:rsid w:val="09FA7A05"/>
    <w:rsid w:val="0AC26975"/>
    <w:rsid w:val="0B73111E"/>
    <w:rsid w:val="0B741732"/>
    <w:rsid w:val="0C5F4C13"/>
    <w:rsid w:val="0CF60FE6"/>
    <w:rsid w:val="0D9308D3"/>
    <w:rsid w:val="0DA37C4A"/>
    <w:rsid w:val="0DFE4B58"/>
    <w:rsid w:val="0E6A6868"/>
    <w:rsid w:val="0FD7617F"/>
    <w:rsid w:val="10591050"/>
    <w:rsid w:val="10914580"/>
    <w:rsid w:val="1159485C"/>
    <w:rsid w:val="12211934"/>
    <w:rsid w:val="12EE2D94"/>
    <w:rsid w:val="13BC50C1"/>
    <w:rsid w:val="13F27C1A"/>
    <w:rsid w:val="146C1E2B"/>
    <w:rsid w:val="14E33A4F"/>
    <w:rsid w:val="150A4246"/>
    <w:rsid w:val="161A308E"/>
    <w:rsid w:val="16916F4A"/>
    <w:rsid w:val="16C84F54"/>
    <w:rsid w:val="18417145"/>
    <w:rsid w:val="19331CE2"/>
    <w:rsid w:val="194F3684"/>
    <w:rsid w:val="19E864CC"/>
    <w:rsid w:val="1AC24896"/>
    <w:rsid w:val="1AFB1F03"/>
    <w:rsid w:val="1B300E3A"/>
    <w:rsid w:val="1C4E5042"/>
    <w:rsid w:val="1D0B1410"/>
    <w:rsid w:val="1D2B5798"/>
    <w:rsid w:val="1DE52D55"/>
    <w:rsid w:val="1ECE14FF"/>
    <w:rsid w:val="1F417171"/>
    <w:rsid w:val="202F16C0"/>
    <w:rsid w:val="20482FB0"/>
    <w:rsid w:val="20E11B8D"/>
    <w:rsid w:val="20EE08E2"/>
    <w:rsid w:val="213D292B"/>
    <w:rsid w:val="214C63B5"/>
    <w:rsid w:val="21AF5E7C"/>
    <w:rsid w:val="227E462E"/>
    <w:rsid w:val="22C7194E"/>
    <w:rsid w:val="2588661A"/>
    <w:rsid w:val="25913915"/>
    <w:rsid w:val="2592209F"/>
    <w:rsid w:val="25B454C4"/>
    <w:rsid w:val="26E517A1"/>
    <w:rsid w:val="27430B82"/>
    <w:rsid w:val="27BE4CC5"/>
    <w:rsid w:val="29330941"/>
    <w:rsid w:val="29513C10"/>
    <w:rsid w:val="298C3404"/>
    <w:rsid w:val="2A864B18"/>
    <w:rsid w:val="2AAB4039"/>
    <w:rsid w:val="2ABE6FFC"/>
    <w:rsid w:val="2B1E480B"/>
    <w:rsid w:val="2B9F4BB2"/>
    <w:rsid w:val="2BA00F48"/>
    <w:rsid w:val="2BA371E9"/>
    <w:rsid w:val="2BD5058E"/>
    <w:rsid w:val="2C76025A"/>
    <w:rsid w:val="2D1D7E15"/>
    <w:rsid w:val="2D3A101F"/>
    <w:rsid w:val="2D5F6F78"/>
    <w:rsid w:val="2D7440DA"/>
    <w:rsid w:val="2E886C90"/>
    <w:rsid w:val="2F5C0412"/>
    <w:rsid w:val="305425CB"/>
    <w:rsid w:val="312A056A"/>
    <w:rsid w:val="31615451"/>
    <w:rsid w:val="31F77C46"/>
    <w:rsid w:val="322D491B"/>
    <w:rsid w:val="322E3BCC"/>
    <w:rsid w:val="32466F76"/>
    <w:rsid w:val="32696EEA"/>
    <w:rsid w:val="335E60EC"/>
    <w:rsid w:val="345155AC"/>
    <w:rsid w:val="34580C01"/>
    <w:rsid w:val="34C77CC1"/>
    <w:rsid w:val="352D2E49"/>
    <w:rsid w:val="35D42696"/>
    <w:rsid w:val="3654682B"/>
    <w:rsid w:val="368A369C"/>
    <w:rsid w:val="36A910FC"/>
    <w:rsid w:val="380B7508"/>
    <w:rsid w:val="38AE08C4"/>
    <w:rsid w:val="39191583"/>
    <w:rsid w:val="39F732CE"/>
    <w:rsid w:val="3ABE28DB"/>
    <w:rsid w:val="3B0A2C2F"/>
    <w:rsid w:val="3B3A5DC0"/>
    <w:rsid w:val="3B5A68BF"/>
    <w:rsid w:val="3C463BC1"/>
    <w:rsid w:val="3D496D00"/>
    <w:rsid w:val="3D9F3E67"/>
    <w:rsid w:val="3F7C34E3"/>
    <w:rsid w:val="40E85264"/>
    <w:rsid w:val="41136FD1"/>
    <w:rsid w:val="4182569C"/>
    <w:rsid w:val="41D21BC1"/>
    <w:rsid w:val="42EA1786"/>
    <w:rsid w:val="437351FA"/>
    <w:rsid w:val="438C63DA"/>
    <w:rsid w:val="43AF3E59"/>
    <w:rsid w:val="43D83C99"/>
    <w:rsid w:val="44345C0E"/>
    <w:rsid w:val="44C47034"/>
    <w:rsid w:val="44FB5E82"/>
    <w:rsid w:val="454A3C1D"/>
    <w:rsid w:val="454E6C6E"/>
    <w:rsid w:val="467415AC"/>
    <w:rsid w:val="47144871"/>
    <w:rsid w:val="486B4DC4"/>
    <w:rsid w:val="48B23F2C"/>
    <w:rsid w:val="493C76CB"/>
    <w:rsid w:val="49C85CE0"/>
    <w:rsid w:val="4A3E7289"/>
    <w:rsid w:val="4A6F5D15"/>
    <w:rsid w:val="4B0B56F4"/>
    <w:rsid w:val="4B1E13A8"/>
    <w:rsid w:val="4BF21D08"/>
    <w:rsid w:val="4D0D3BB5"/>
    <w:rsid w:val="4D425F57"/>
    <w:rsid w:val="4EA52E58"/>
    <w:rsid w:val="4EFE77E9"/>
    <w:rsid w:val="4F554B3D"/>
    <w:rsid w:val="4F803C0F"/>
    <w:rsid w:val="4FAE00DE"/>
    <w:rsid w:val="509078B9"/>
    <w:rsid w:val="50F73284"/>
    <w:rsid w:val="51AA02F7"/>
    <w:rsid w:val="523A5EFC"/>
    <w:rsid w:val="525A6199"/>
    <w:rsid w:val="54E82AD5"/>
    <w:rsid w:val="554514FB"/>
    <w:rsid w:val="55A47F83"/>
    <w:rsid w:val="55BD0420"/>
    <w:rsid w:val="55C467CB"/>
    <w:rsid w:val="56AF2D40"/>
    <w:rsid w:val="580D0AA1"/>
    <w:rsid w:val="585A2A4F"/>
    <w:rsid w:val="58670CF0"/>
    <w:rsid w:val="58BE762E"/>
    <w:rsid w:val="58EF089F"/>
    <w:rsid w:val="5A5C7945"/>
    <w:rsid w:val="5AAA6FCB"/>
    <w:rsid w:val="5B4B2F79"/>
    <w:rsid w:val="5B9001EE"/>
    <w:rsid w:val="5B950BA7"/>
    <w:rsid w:val="5B9E2EBD"/>
    <w:rsid w:val="5D9472EA"/>
    <w:rsid w:val="5DBC47FE"/>
    <w:rsid w:val="5E1932E2"/>
    <w:rsid w:val="5FA07A18"/>
    <w:rsid w:val="5FFD1C99"/>
    <w:rsid w:val="61033E1D"/>
    <w:rsid w:val="614C0D25"/>
    <w:rsid w:val="61C1711D"/>
    <w:rsid w:val="625F0D2E"/>
    <w:rsid w:val="63AA0A06"/>
    <w:rsid w:val="63F53559"/>
    <w:rsid w:val="644178B4"/>
    <w:rsid w:val="653C55F0"/>
    <w:rsid w:val="65EF0F14"/>
    <w:rsid w:val="660169BD"/>
    <w:rsid w:val="661A549D"/>
    <w:rsid w:val="66316D8F"/>
    <w:rsid w:val="664371B0"/>
    <w:rsid w:val="68DD5815"/>
    <w:rsid w:val="68E07B61"/>
    <w:rsid w:val="691D67E0"/>
    <w:rsid w:val="692F13B6"/>
    <w:rsid w:val="69D14521"/>
    <w:rsid w:val="69E929BF"/>
    <w:rsid w:val="6A0D10A0"/>
    <w:rsid w:val="6A6B6A31"/>
    <w:rsid w:val="6B3B6738"/>
    <w:rsid w:val="6BD438B1"/>
    <w:rsid w:val="6C246142"/>
    <w:rsid w:val="6CA9123F"/>
    <w:rsid w:val="6CBC2490"/>
    <w:rsid w:val="6CCB1952"/>
    <w:rsid w:val="6CD03D03"/>
    <w:rsid w:val="6DEB1AE0"/>
    <w:rsid w:val="6E250C4D"/>
    <w:rsid w:val="6F6B7728"/>
    <w:rsid w:val="70CE3BAA"/>
    <w:rsid w:val="71143CFA"/>
    <w:rsid w:val="712306BB"/>
    <w:rsid w:val="724F042D"/>
    <w:rsid w:val="72611294"/>
    <w:rsid w:val="72FA2A34"/>
    <w:rsid w:val="730A2168"/>
    <w:rsid w:val="736568B9"/>
    <w:rsid w:val="737A0F89"/>
    <w:rsid w:val="73E01C2A"/>
    <w:rsid w:val="75B53753"/>
    <w:rsid w:val="75D946F8"/>
    <w:rsid w:val="76187407"/>
    <w:rsid w:val="76C51F7D"/>
    <w:rsid w:val="76D574D4"/>
    <w:rsid w:val="76DF4663"/>
    <w:rsid w:val="77766BDD"/>
    <w:rsid w:val="78211202"/>
    <w:rsid w:val="78526E6F"/>
    <w:rsid w:val="78DD2070"/>
    <w:rsid w:val="79B2431B"/>
    <w:rsid w:val="7B5B75F6"/>
    <w:rsid w:val="7B602B2D"/>
    <w:rsid w:val="7BF83C79"/>
    <w:rsid w:val="7D5D078F"/>
    <w:rsid w:val="7DD61DE0"/>
    <w:rsid w:val="7E176151"/>
    <w:rsid w:val="7E7C601C"/>
    <w:rsid w:val="7ED23FF7"/>
    <w:rsid w:val="7F274FC8"/>
    <w:rsid w:val="7F743B6E"/>
    <w:rsid w:val="7F9D6D67"/>
    <w:rsid w:val="DCF3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74"/>
      <w:ind w:left="217"/>
    </w:pPr>
    <w:rPr>
      <w:rFonts w:ascii="宋体" w:hAnsi="宋体" w:cs="宋体"/>
      <w:szCs w:val="21"/>
      <w:lang w:val="zh-CN" w:bidi="zh-CN"/>
    </w:rPr>
  </w:style>
  <w:style w:type="paragraph" w:styleId="3">
    <w:name w:val="annotation text"/>
    <w:basedOn w:val="1"/>
    <w:link w:val="19"/>
    <w:semiHidden/>
    <w:unhideWhenUsed/>
    <w:qFormat/>
    <w:uiPriority w:val="99"/>
    <w:pPr>
      <w:jc w:val="left"/>
    </w:pPr>
  </w:style>
  <w:style w:type="paragraph" w:styleId="4">
    <w:name w:val="Body Text Indent"/>
    <w:basedOn w:val="1"/>
    <w:qFormat/>
    <w:uiPriority w:val="0"/>
    <w:pPr>
      <w:spacing w:line="500" w:lineRule="exact"/>
      <w:ind w:firstLine="446" w:firstLineChars="200"/>
    </w:pPr>
  </w:style>
  <w:style w:type="paragraph" w:styleId="5">
    <w:name w:val="Block Text"/>
    <w:basedOn w:val="1"/>
    <w:qFormat/>
    <w:uiPriority w:val="99"/>
    <w:pPr>
      <w:adjustRightInd w:val="0"/>
      <w:snapToGrid w:val="0"/>
    </w:pPr>
  </w:style>
  <w:style w:type="paragraph" w:styleId="6">
    <w:name w:val="toc 3"/>
    <w:basedOn w:val="1"/>
    <w:next w:val="1"/>
    <w:semiHidden/>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annotation subject"/>
    <w:basedOn w:val="3"/>
    <w:next w:val="3"/>
    <w:link w:val="20"/>
    <w:semiHidden/>
    <w:unhideWhenUsed/>
    <w:qFormat/>
    <w:uiPriority w:val="99"/>
    <w:rPr>
      <w:b/>
      <w:bCs/>
    </w:rPr>
  </w:style>
  <w:style w:type="paragraph" w:styleId="13">
    <w:name w:val="Body Text First Indent 2"/>
    <w:basedOn w:val="4"/>
    <w:qFormat/>
    <w:uiPriority w:val="0"/>
    <w:pPr>
      <w:tabs>
        <w:tab w:val="left" w:pos="630"/>
      </w:tabs>
      <w:spacing w:line="300" w:lineRule="auto"/>
      <w:ind w:firstLine="200"/>
      <w:textAlignment w:val="baseline"/>
    </w:pPr>
    <w:rPr>
      <w:rFonts w:ascii="宋体"/>
      <w:sz w:val="24"/>
      <w:szCs w:val="24"/>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9"/>
    <w:semiHidden/>
    <w:qFormat/>
    <w:uiPriority w:val="99"/>
    <w:rPr>
      <w:sz w:val="18"/>
      <w:szCs w:val="18"/>
    </w:rPr>
  </w:style>
  <w:style w:type="character" w:customStyle="1" w:styleId="18">
    <w:name w:val="页脚 字符"/>
    <w:basedOn w:val="15"/>
    <w:link w:val="8"/>
    <w:semiHidden/>
    <w:qFormat/>
    <w:uiPriority w:val="99"/>
    <w:rPr>
      <w:sz w:val="18"/>
      <w:szCs w:val="18"/>
    </w:rPr>
  </w:style>
  <w:style w:type="character" w:customStyle="1" w:styleId="19">
    <w:name w:val="批注文字 字符"/>
    <w:basedOn w:val="15"/>
    <w:link w:val="3"/>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12"/>
    <w:semiHidden/>
    <w:qFormat/>
    <w:uiPriority w:val="99"/>
    <w:rPr>
      <w:rFonts w:asciiTheme="minorHAnsi" w:hAnsiTheme="minorHAnsi" w:eastAsiaTheme="minorEastAsia" w:cstheme="minorBidi"/>
      <w:b/>
      <w:bCs/>
      <w:kern w:val="2"/>
      <w:sz w:val="21"/>
      <w:szCs w:val="22"/>
    </w:rPr>
  </w:style>
  <w:style w:type="character" w:customStyle="1" w:styleId="21">
    <w:name w:val="批注框文本 字符"/>
    <w:basedOn w:val="15"/>
    <w:link w:val="7"/>
    <w:semiHidden/>
    <w:qFormat/>
    <w:uiPriority w:val="99"/>
    <w:rPr>
      <w:rFonts w:asciiTheme="minorHAnsi" w:hAnsiTheme="minorHAnsi" w:eastAsiaTheme="minorEastAsia" w:cstheme="minorBidi"/>
      <w:kern w:val="2"/>
      <w:sz w:val="18"/>
      <w:szCs w:val="1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font31"/>
    <w:basedOn w:val="15"/>
    <w:qFormat/>
    <w:uiPriority w:val="0"/>
    <w:rPr>
      <w:rFonts w:hint="eastAsia" w:ascii="宋体" w:hAnsi="宋体" w:eastAsia="宋体" w:cs="宋体"/>
      <w:b/>
      <w:bCs/>
      <w:color w:val="000000"/>
      <w:sz w:val="18"/>
      <w:szCs w:val="18"/>
      <w:u w:val="none"/>
    </w:rPr>
  </w:style>
  <w:style w:type="character" w:customStyle="1" w:styleId="26">
    <w:name w:val="font61"/>
    <w:basedOn w:val="15"/>
    <w:qFormat/>
    <w:uiPriority w:val="0"/>
    <w:rPr>
      <w:rFonts w:hint="eastAsia" w:ascii="宋体" w:hAnsi="宋体" w:eastAsia="宋体" w:cs="宋体"/>
      <w:color w:val="000000"/>
      <w:sz w:val="18"/>
      <w:szCs w:val="18"/>
      <w:u w:val="none"/>
    </w:rPr>
  </w:style>
  <w:style w:type="character" w:customStyle="1" w:styleId="27">
    <w:name w:val="font81"/>
    <w:basedOn w:val="15"/>
    <w:qFormat/>
    <w:uiPriority w:val="0"/>
    <w:rPr>
      <w:rFonts w:hint="eastAsia" w:ascii="宋体" w:hAnsi="宋体" w:eastAsia="宋体" w:cs="宋体"/>
      <w:color w:val="000000"/>
      <w:sz w:val="20"/>
      <w:szCs w:val="20"/>
      <w:u w:val="none"/>
    </w:rPr>
  </w:style>
  <w:style w:type="character" w:customStyle="1" w:styleId="28">
    <w:name w:val="font91"/>
    <w:basedOn w:val="15"/>
    <w:qFormat/>
    <w:uiPriority w:val="0"/>
    <w:rPr>
      <w:rFonts w:hint="eastAsia" w:ascii="宋体" w:hAnsi="宋体" w:eastAsia="宋体" w:cs="宋体"/>
      <w:color w:val="000000"/>
      <w:sz w:val="18"/>
      <w:szCs w:val="18"/>
      <w:u w:val="none"/>
    </w:rPr>
  </w:style>
  <w:style w:type="character" w:customStyle="1" w:styleId="29">
    <w:name w:val="font5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8</Pages>
  <Words>3226</Words>
  <Characters>3492</Characters>
  <Lines>75</Lines>
  <Paragraphs>21</Paragraphs>
  <TotalTime>1</TotalTime>
  <ScaleCrop>false</ScaleCrop>
  <LinksUpToDate>false</LinksUpToDate>
  <CharactersWithSpaces>3603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2021-04-26T15:31:00Z</dcterms:created>
  <dc:creator>桑三博客</dc:creator>
  <cp:lastModifiedBy>xjkp</cp:lastModifiedBy>
  <cp:lastPrinted>2019-06-21T11:35:00Z</cp:lastPrinted>
  <dcterms:modified xsi:type="dcterms:W3CDTF">2023-07-17T11:21:08Z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CE8990E52757493FAA787A216F18E518</vt:lpwstr>
  </property>
</Properties>
</file>